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936" w:lineRule="atLeast"/>
        <w:ind w:left="0" w:firstLine="0"/>
        <w:jc w:val="center"/>
        <w:rPr>
          <w:rFonts w:ascii="华文中宋" w:hAnsi="华文中宋" w:eastAsia="华文中宋" w:cs="华文中宋"/>
          <w:b/>
          <w:i w:val="0"/>
          <w:caps w:val="0"/>
          <w:color w:val="FF0000"/>
          <w:spacing w:val="0"/>
          <w:sz w:val="78"/>
          <w:szCs w:val="78"/>
        </w:rPr>
      </w:pPr>
      <w:r>
        <w:rPr>
          <w:rFonts w:hint="eastAsia" w:ascii="华文中宋" w:hAnsi="华文中宋" w:eastAsia="华文中宋" w:cs="华文中宋"/>
          <w:b/>
          <w:i w:val="0"/>
          <w:caps w:val="0"/>
          <w:color w:val="FF0000"/>
          <w:spacing w:val="0"/>
          <w:kern w:val="0"/>
          <w:sz w:val="78"/>
          <w:szCs w:val="78"/>
          <w:shd w:val="clear" w:fill="FFFFFF"/>
          <w:lang w:val="en-US" w:eastAsia="zh-CN" w:bidi="ar"/>
        </w:rPr>
        <w:t>内　部　明　电</w:t>
      </w:r>
    </w:p>
    <w:tbl>
      <w:tblPr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9600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5000" w:type="pct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46"/>
              <w:gridCol w:w="2492"/>
              <w:gridCol w:w="1246"/>
              <w:gridCol w:w="332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发　　往</w:t>
                  </w:r>
                </w:p>
              </w:tc>
              <w:tc>
                <w:tcPr>
                  <w:tcW w:w="1500" w:type="pct"/>
                  <w:shd w:val="clear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</w:p>
              </w:tc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签批人</w:t>
                  </w:r>
                </w:p>
              </w:tc>
              <w:tc>
                <w:tcPr>
                  <w:tcW w:w="2000" w:type="pct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left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胡东旭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等　　级</w:t>
                  </w:r>
                </w:p>
              </w:tc>
              <w:tc>
                <w:tcPr>
                  <w:tcW w:w="1500" w:type="pct"/>
                  <w:shd w:val="clear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</w:p>
              </w:tc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部门号</w:t>
                  </w:r>
                </w:p>
              </w:tc>
              <w:tc>
                <w:tcPr>
                  <w:tcW w:w="2000" w:type="pct"/>
                  <w:shd w:val="clear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机　　号</w:t>
                  </w:r>
                </w:p>
              </w:tc>
              <w:tc>
                <w:tcPr>
                  <w:tcW w:w="1500" w:type="pct"/>
                  <w:shd w:val="clear"/>
                  <w:vAlign w:val="top"/>
                </w:tcPr>
                <w:p>
                  <w:pPr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</w:p>
              </w:tc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文　号</w:t>
                  </w:r>
                </w:p>
              </w:tc>
              <w:tc>
                <w:tcPr>
                  <w:tcW w:w="3000" w:type="pct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left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慈新服电〔2024〕1号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发布范围</w:t>
                  </w:r>
                </w:p>
              </w:tc>
              <w:tc>
                <w:tcPr>
                  <w:tcW w:w="4250" w:type="pct"/>
                  <w:gridSpan w:val="3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left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各镇（街道）、各部门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50" w:type="pct"/>
                  <w:shd w:val="clear"/>
                  <w:noWrap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450" w:lineRule="atLeast"/>
                    <w:jc w:val="center"/>
                    <w:rPr>
                      <w:rFonts w:hint="eastAsia" w:ascii="仿宋" w:hAnsi="仿宋" w:eastAsia="仿宋" w:cs="仿宋"/>
                      <w:color w:val="000000"/>
                      <w:sz w:val="31"/>
                      <w:szCs w:val="3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color w:val="000000"/>
                      <w:kern w:val="0"/>
                      <w:sz w:val="31"/>
                      <w:szCs w:val="31"/>
                      <w:lang w:val="en-US" w:eastAsia="zh-CN" w:bidi="ar"/>
                    </w:rPr>
                    <w:t>标　　题</w:t>
                  </w:r>
                </w:p>
              </w:tc>
              <w:tc>
                <w:tcPr>
                  <w:tcW w:w="4250" w:type="pct"/>
                  <w:gridSpan w:val="3"/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left w:val="none" w:color="auto" w:sz="0" w:space="0"/>
                    </w:pBdr>
                    <w:spacing w:line="450" w:lineRule="atLeast"/>
                    <w:jc w:val="left"/>
                    <w:rPr>
                      <w:rFonts w:hint="eastAsia" w:ascii="微软雅黑" w:hAnsi="微软雅黑" w:eastAsia="微软雅黑" w:cs="微软雅黑"/>
                      <w:color w:val="000000"/>
                      <w:sz w:val="30"/>
                      <w:szCs w:val="3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 w:val="30"/>
                      <w:szCs w:val="30"/>
                      <w:bdr w:val="none" w:color="auto" w:sz="0" w:space="0"/>
                      <w:lang w:val="en-US" w:eastAsia="zh-CN" w:bidi="ar"/>
                    </w:rPr>
                    <w:t>关于组织召开村新时代和谐促进会工作座谈会的通知</w:t>
                  </w:r>
                </w:p>
              </w:tc>
            </w:tr>
          </w:tbl>
          <w:p>
            <w:pPr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31"/>
                <w:szCs w:val="3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560" w:lineRule="atLeast"/>
        <w:ind w:lef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为进一步贯彻落实《关于开展全市新时代和谐促进会建设的通知》（慈平安〔2023〕4号）精神，切实提升新时代和谐促进会工作质效，经研究，决定召开村新时代和谐促进会工作座谈会，现将有关事项通知如下：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一、时间和地点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会议定于2024年5月30日下午2:30在市新市民服务中心大会议室（市政务服务中心南楼606室）召开，会议时长1.5小时。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二、参加对象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邀请部分村新时代和谐促进会专职副会长，名单详见附件。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三、会议内容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会议围绕村新时代和谐促进会换届、活动开展、经费保障、作用发挥等开展座谈。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四、其他事项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请与会人员安排好工作，提前10分钟到达会场。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附件：参会人员名单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　　　　　　　　　　　　　慈溪市新市民服务中心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　　　　　　　　　　　　　　　　2024年5月28日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AC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2024-05-30T06:45:21Z</dcterms:created>
  <dc:creator>Administrator</dc:creator>
  <cp:lastModifiedBy>Kate.J.C</cp:lastModifiedBy>
  <dcterms:modified xsi:type="dcterms:W3CDTF">2024-05-30T06:45:43Z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