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22] 13</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：宁波宝工电器有限公司</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：宁波宝鸿电器有限公司</w:t>
      </w:r>
    </w:p>
    <w:p>
      <w:pPr>
        <w:rPr>
          <w:rFonts w:hint="eastAsia" w:ascii="华文仿宋" w:hAnsi="华文仿宋" w:eastAsia="华文仿宋" w:cs="华文仿宋"/>
          <w:sz w:val="32"/>
          <w:szCs w:val="32"/>
          <w:lang w:val="en-US" w:eastAsia="zh-CN"/>
        </w:rPr>
      </w:pPr>
      <w:bookmarkStart w:id="0" w:name="_GoBack"/>
      <w:bookmarkEnd w:id="0"/>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案由：燃气暖风机（BGA1901-17T）的外观设计专利案，专利名称“燃气暖风机（BGA1901-17T）”，专利号：ZL201930119584.8</w:t>
      </w:r>
    </w:p>
    <w:p>
      <w:pPr>
        <w:rPr>
          <w:rFonts w:hint="eastAsia" w:ascii="华文仿宋" w:hAnsi="华文仿宋" w:eastAsia="华文仿宋" w:cs="华文仿宋"/>
          <w:sz w:val="32"/>
          <w:szCs w:val="32"/>
          <w:lang w:val="en-US" w:eastAsia="zh-CN"/>
        </w:rPr>
      </w:pP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请求人就其“燃气暖风机（BGA1901-17T）”</w:t>
      </w:r>
      <w:r>
        <w:rPr>
          <w:rFonts w:hint="eastAsia" w:ascii="华文仿宋" w:hAnsi="华文仿宋" w:eastAsia="华文仿宋" w:cs="华文仿宋"/>
          <w:color w:val="auto"/>
          <w:sz w:val="32"/>
          <w:szCs w:val="32"/>
          <w:lang w:val="en-US" w:eastAsia="zh-CN"/>
        </w:rPr>
        <w:t>的外观设计专利（专利号：ZL201930119584.8）与被请求人的专利侵权纠纷，向我局提出处理请求。我局于2022年8月29日受理后，依照《专利行政执法办法》第十三条组成合议组。合议组于2022年10月9日进行了口头审理，请求人委托代理人和被请求人委托代理人到庭参加了口头审理。现本案已审结。</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sz w:val="32"/>
          <w:szCs w:val="32"/>
          <w:lang w:val="en-US" w:eastAsia="zh-CN"/>
        </w:rPr>
        <w:t>请求人</w:t>
      </w:r>
      <w:r>
        <w:rPr>
          <w:rFonts w:hint="eastAsia" w:ascii="华文仿宋" w:hAnsi="华文仿宋" w:eastAsia="华文仿宋" w:cs="华文仿宋"/>
          <w:sz w:val="32"/>
          <w:szCs w:val="32"/>
          <w:lang w:val="en-US" w:eastAsia="zh-CN"/>
        </w:rPr>
        <w:t>诉求：</w:t>
      </w:r>
      <w:r>
        <w:rPr>
          <w:rFonts w:hint="eastAsia" w:ascii="华文仿宋" w:hAnsi="华文仿宋" w:eastAsia="华文仿宋" w:cs="华文仿宋"/>
          <w:color w:val="auto"/>
          <w:sz w:val="32"/>
          <w:szCs w:val="32"/>
          <w:lang w:val="en-US" w:eastAsia="zh-CN"/>
        </w:rPr>
        <w:t>1.责令被请求人立即停止生产、销售、许诺销售涉案专利产品并销毁全部库存和模具；2.责令被请求人就本案侵权行为向请求人赔偿损失。</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事实与理由：请求人于</w:t>
      </w:r>
      <w:r>
        <w:rPr>
          <w:rFonts w:hint="eastAsia" w:ascii="华文仿宋" w:hAnsi="华文仿宋" w:eastAsia="华文仿宋" w:cs="华文仿宋"/>
          <w:color w:val="auto"/>
          <w:sz w:val="32"/>
          <w:szCs w:val="32"/>
          <w:lang w:val="en-US" w:eastAsia="zh-CN"/>
        </w:rPr>
        <w:t>2019年03月21日向国家知识产权局申请了上述涉案专利，该专利在2019年08月27日被授权公告，专利号为ZL201930119584.8，请求人至今仍享有该专利权。请求人提供了外观设计专利权评价报告。请求人在市场上发现有上述涉案专利的侵权产品。请求人根据被请求人官网和阿里巴巴国际站的店铺展示，</w:t>
      </w:r>
      <w:r>
        <w:rPr>
          <w:rFonts w:hint="eastAsia" w:ascii="华文仿宋" w:hAnsi="华文仿宋" w:eastAsia="华文仿宋" w:cs="华文仿宋"/>
          <w:color w:val="auto"/>
          <w:sz w:val="32"/>
          <w:szCs w:val="32"/>
          <w:lang w:eastAsia="zh-CN"/>
        </w:rPr>
        <w:t>取得侵权产品</w:t>
      </w:r>
      <w:r>
        <w:rPr>
          <w:rFonts w:hint="eastAsia" w:ascii="华文仿宋" w:hAnsi="华文仿宋" w:eastAsia="华文仿宋" w:cs="华文仿宋"/>
          <w:color w:val="auto"/>
          <w:sz w:val="32"/>
          <w:szCs w:val="32"/>
          <w:lang w:val="en-US" w:eastAsia="zh-CN"/>
        </w:rPr>
        <w:t>图片</w:t>
      </w:r>
      <w:r>
        <w:rPr>
          <w:rFonts w:hint="eastAsia" w:ascii="华文仿宋" w:hAnsi="华文仿宋" w:eastAsia="华文仿宋" w:cs="华文仿宋"/>
          <w:color w:val="auto"/>
          <w:sz w:val="32"/>
          <w:szCs w:val="32"/>
          <w:lang w:eastAsia="zh-CN"/>
        </w:rPr>
        <w:t>后，与专利进行了比对，认为产品侵犯了请求人的外观设计专利权。</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被请求人辩称</w:t>
      </w:r>
      <w:r>
        <w:rPr>
          <w:rFonts w:hint="eastAsia" w:ascii="华文仿宋" w:hAnsi="华文仿宋" w:eastAsia="华文仿宋" w:cs="华文仿宋"/>
          <w:color w:val="auto"/>
          <w:sz w:val="32"/>
          <w:szCs w:val="32"/>
          <w:lang w:val="en-US" w:eastAsia="zh-CN"/>
        </w:rPr>
        <w:t>，本公司生产的上述涉案产品，视觉效果与涉案专利存在诸多显著差异，根据整体观察、综合判断原则，二者在整体视觉效果上存在实质性差异，两者既不构成相同也不构成近似，涉案产品的外观设计未落入涉案专利的保护范围，不构成专利侵权。</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当事人围绕请求事项依法提交了证据，</w:t>
      </w:r>
      <w:r>
        <w:rPr>
          <w:rFonts w:hint="eastAsia" w:ascii="华文仿宋" w:hAnsi="华文仿宋" w:eastAsia="华文仿宋" w:cs="华文仿宋"/>
          <w:sz w:val="32"/>
          <w:szCs w:val="32"/>
          <w:lang w:val="en-US" w:eastAsia="zh-CN"/>
        </w:rPr>
        <w:t>我局组织当事人进行了举证和质证。对当事人无异议的证据，我局予以确认并在卷佐证。</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涉</w:t>
      </w:r>
      <w:r>
        <w:rPr>
          <w:rFonts w:hint="eastAsia" w:ascii="华文仿宋" w:hAnsi="华文仿宋" w:eastAsia="华文仿宋" w:cs="华文仿宋"/>
          <w:color w:val="auto"/>
          <w:sz w:val="32"/>
          <w:szCs w:val="32"/>
          <w:lang w:val="en-US" w:eastAsia="zh-CN"/>
        </w:rPr>
        <w:t>案外观设计专利的专利号为ZL201930119584.8，名称“燃气暖风机（BGA1901-17T）”，该专利申请日为2019年03月21日，</w:t>
      </w:r>
      <w:r>
        <w:rPr>
          <w:rFonts w:hint="eastAsia" w:ascii="华文仿宋" w:hAnsi="华文仿宋" w:eastAsia="华文仿宋" w:cs="华文仿宋"/>
          <w:sz w:val="32"/>
          <w:szCs w:val="32"/>
          <w:lang w:val="en-US" w:eastAsia="zh-CN"/>
        </w:rPr>
        <w:t>授权公告</w:t>
      </w:r>
      <w:r>
        <w:rPr>
          <w:rFonts w:hint="eastAsia" w:ascii="华文仿宋" w:hAnsi="华文仿宋" w:eastAsia="华文仿宋" w:cs="华文仿宋"/>
          <w:color w:val="auto"/>
          <w:sz w:val="32"/>
          <w:szCs w:val="32"/>
          <w:lang w:val="en-US" w:eastAsia="zh-CN"/>
        </w:rPr>
        <w:t>日为2019年08月27日，该专利现处于法律保护有效期内。外观设计专利权评价报告结论为：全部外观设计未发现存在不符合授予专利权条件的缺陷。</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根据已查明的事实，结合请求方与被请求方诉请和庭审内容，本案的争议焦点为：</w:t>
      </w:r>
      <w:r>
        <w:rPr>
          <w:rFonts w:hint="eastAsia" w:ascii="华文仿宋" w:hAnsi="华文仿宋" w:eastAsia="华文仿宋" w:cs="华文仿宋"/>
          <w:color w:val="auto"/>
          <w:sz w:val="32"/>
          <w:szCs w:val="32"/>
          <w:lang w:val="en-US" w:eastAsia="zh-CN"/>
        </w:rPr>
        <w:t>被请求人生产的涉案产品的外观设计是否落入涉案专利的保护范围。</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sz w:val="32"/>
          <w:szCs w:val="32"/>
          <w:lang w:val="en-US" w:eastAsia="zh-CN"/>
        </w:rPr>
        <w:t>关于争议焦点，经涉案专利权设计与被控侵权产品比对，整体观察、综合判断，我局认定：被控侵权产品</w:t>
      </w:r>
      <w:r>
        <w:rPr>
          <w:rFonts w:hint="eastAsia" w:ascii="华文仿宋" w:hAnsi="华文仿宋" w:eastAsia="华文仿宋" w:cs="华文仿宋"/>
          <w:sz w:val="32"/>
          <w:szCs w:val="32"/>
          <w:lang w:val="en-US" w:eastAsia="zh-CN"/>
        </w:rPr>
        <w:t>与涉案专利的一种使用状态</w:t>
      </w:r>
      <w:r>
        <w:rPr>
          <w:rFonts w:hint="default" w:ascii="华文仿宋" w:hAnsi="华文仿宋" w:eastAsia="华文仿宋" w:cs="华文仿宋"/>
          <w:sz w:val="32"/>
          <w:szCs w:val="32"/>
          <w:lang w:val="en-US" w:eastAsia="zh-CN"/>
        </w:rPr>
        <w:t>相比，构成相似，不同点</w:t>
      </w:r>
      <w:r>
        <w:rPr>
          <w:rFonts w:hint="eastAsia" w:ascii="华文仿宋" w:hAnsi="华文仿宋" w:eastAsia="华文仿宋" w:cs="华文仿宋"/>
          <w:sz w:val="32"/>
          <w:szCs w:val="32"/>
          <w:lang w:val="en-US" w:eastAsia="zh-CN"/>
        </w:rPr>
        <w:t>在于被控侵权产品无涉案专利的“变化状态图”所示的外观设计</w:t>
      </w:r>
      <w:r>
        <w:rPr>
          <w:rFonts w:hint="eastAsia" w:ascii="华文仿宋" w:hAnsi="华文仿宋" w:eastAsia="华文仿宋" w:cs="华文仿宋"/>
          <w:color w:val="auto"/>
          <w:sz w:val="32"/>
          <w:szCs w:val="32"/>
          <w:lang w:val="en-US" w:eastAsia="zh-CN"/>
        </w:rPr>
        <w:t>。根据《最高人民法院关于审理侵犯专利权纠纷案件应用法律若干问题的解释（二）》第十七条的规定：对于变化状态产品的外观设计专利，被诉侵权设计与变化状态图所示各种使用状态下的外观设计均相同或者近似的，人民法院应当认定被诉侵权设计落入专利权的保护范围；被诉侵权设计缺少其一种使用状态下的外观设计或者与之不相同也不近似的，人民法院应当认定被诉侵权设计未落入专利权的保护范围。经庭审现场查实，被控侵权产品缺少涉案专利的其中一种使用状态下的外观设计，不构成专利侵权。</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color w:val="auto"/>
          <w:sz w:val="32"/>
          <w:szCs w:val="32"/>
          <w:lang w:val="en-US" w:eastAsia="zh-CN"/>
        </w:rPr>
        <w:t>我局已经对该专利侵权纠纷进行了调解，双方无法达成一致意见。依据《中华人民共和国专利法》第十一条、第六十四、六十五条，《专利行政执法办法》第四十三条的规</w:t>
      </w:r>
      <w:r>
        <w:rPr>
          <w:rFonts w:hint="default" w:ascii="华文仿宋" w:hAnsi="华文仿宋" w:eastAsia="华文仿宋" w:cs="华文仿宋"/>
          <w:sz w:val="32"/>
          <w:szCs w:val="32"/>
          <w:lang w:val="en-US" w:eastAsia="zh-CN"/>
        </w:rPr>
        <w:t>定，我局作出处理决定如下：</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被请求人</w:t>
      </w:r>
      <w:r>
        <w:rPr>
          <w:rFonts w:hint="eastAsia" w:ascii="华文仿宋" w:hAnsi="华文仿宋" w:eastAsia="华文仿宋" w:cs="华文仿宋"/>
          <w:sz w:val="32"/>
          <w:szCs w:val="32"/>
          <w:lang w:val="en-US" w:eastAsia="zh-CN"/>
        </w:rPr>
        <w:t>不构成侵犯专利号为ZL201930119584.8，名称“燃气暖风机（BGA1901-17T）”的外观设计专利权</w:t>
      </w:r>
      <w:r>
        <w:rPr>
          <w:rFonts w:hint="default" w:ascii="华文仿宋" w:hAnsi="华文仿宋" w:eastAsia="华文仿宋" w:cs="华文仿宋"/>
          <w:color w:val="auto"/>
          <w:sz w:val="32"/>
          <w:szCs w:val="32"/>
          <w:lang w:val="en-US" w:eastAsia="zh-CN"/>
        </w:rPr>
        <w:t>。</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双方当事人对本处理决定不服的，可根据《中华人民共和国专利法》第六十</w:t>
      </w:r>
      <w:r>
        <w:rPr>
          <w:rFonts w:hint="eastAsia" w:ascii="华文仿宋" w:hAnsi="华文仿宋" w:eastAsia="华文仿宋" w:cs="华文仿宋"/>
          <w:sz w:val="32"/>
          <w:szCs w:val="32"/>
          <w:lang w:val="en-US" w:eastAsia="zh-CN"/>
        </w:rPr>
        <w:t>五</w:t>
      </w:r>
      <w:r>
        <w:rPr>
          <w:rFonts w:hint="default" w:ascii="华文仿宋" w:hAnsi="华文仿宋" w:eastAsia="华文仿宋" w:cs="华文仿宋"/>
          <w:sz w:val="32"/>
          <w:szCs w:val="32"/>
          <w:lang w:val="en-US" w:eastAsia="zh-CN"/>
        </w:rPr>
        <w:t>条的规定，自收到本处理决定书之日起15日内，向浙江省宁波市中级人民法院起诉。期满不起诉又不履行行政裁决的，本局将申请人民法院强制执行。</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w:t>
      </w:r>
      <w:r>
        <w:rPr>
          <w:rFonts w:hint="default" w:ascii="华文仿宋" w:hAnsi="华文仿宋" w:eastAsia="华文仿宋" w:cs="华文仿宋"/>
          <w:sz w:val="32"/>
          <w:szCs w:val="32"/>
          <w:lang w:val="en-US" w:eastAsia="zh-CN"/>
        </w:rPr>
        <w:t>市市场监督管理局（知识产权局）</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地址：</w:t>
      </w:r>
      <w:r>
        <w:rPr>
          <w:rFonts w:hint="eastAsia" w:ascii="华文仿宋" w:hAnsi="华文仿宋" w:eastAsia="华文仿宋" w:cs="华文仿宋"/>
          <w:sz w:val="32"/>
          <w:szCs w:val="32"/>
        </w:rPr>
        <w:t>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邮编：315</w:t>
      </w:r>
      <w:r>
        <w:rPr>
          <w:rFonts w:hint="eastAsia" w:ascii="华文仿宋" w:hAnsi="华文仿宋" w:eastAsia="华文仿宋" w:cs="华文仿宋"/>
          <w:sz w:val="32"/>
          <w:szCs w:val="32"/>
          <w:lang w:val="en-US" w:eastAsia="zh-CN"/>
        </w:rPr>
        <w:t>3</w:t>
      </w:r>
      <w:r>
        <w:rPr>
          <w:rFonts w:hint="default" w:ascii="华文仿宋" w:hAnsi="华文仿宋" w:eastAsia="华文仿宋" w:cs="华文仿宋"/>
          <w:sz w:val="32"/>
          <w:szCs w:val="32"/>
          <w:lang w:val="en-US" w:eastAsia="zh-CN"/>
        </w:rPr>
        <w:t>00</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联系电话：0574-</w:t>
      </w:r>
      <w:r>
        <w:rPr>
          <w:rFonts w:hint="eastAsia" w:ascii="华文仿宋" w:hAnsi="华文仿宋" w:eastAsia="华文仿宋" w:cs="华文仿宋"/>
          <w:sz w:val="32"/>
          <w:szCs w:val="32"/>
          <w:lang w:val="en-US" w:eastAsia="zh-CN"/>
        </w:rPr>
        <w:t>63026415</w:t>
      </w:r>
    </w:p>
    <w:p>
      <w:pPr>
        <w:ind w:firstLine="640"/>
        <w:rPr>
          <w:rFonts w:hint="eastAsia"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合议组长：</w:t>
      </w:r>
      <w:r>
        <w:rPr>
          <w:rFonts w:hint="eastAsia" w:ascii="华文仿宋" w:hAnsi="华文仿宋" w:eastAsia="华文仿宋" w:cs="华文仿宋"/>
          <w:color w:val="auto"/>
          <w:sz w:val="32"/>
          <w:szCs w:val="32"/>
          <w:lang w:val="en-US" w:eastAsia="zh-CN"/>
        </w:rPr>
        <w:t>吴华荣</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周胜杰</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罗雨洁</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书 记 员：</w:t>
      </w:r>
      <w:r>
        <w:rPr>
          <w:rFonts w:hint="eastAsia" w:ascii="华文仿宋" w:hAnsi="华文仿宋" w:eastAsia="华文仿宋" w:cs="华文仿宋"/>
          <w:color w:val="auto"/>
          <w:sz w:val="32"/>
          <w:szCs w:val="32"/>
          <w:lang w:val="en-US" w:eastAsia="zh-CN"/>
        </w:rPr>
        <w:t>杨子慧</w:t>
      </w:r>
      <w:r>
        <w:rPr>
          <w:rFonts w:hint="default" w:ascii="华文仿宋" w:hAnsi="华文仿宋" w:eastAsia="华文仿宋" w:cs="华文仿宋"/>
          <w:color w:val="auto"/>
          <w:sz w:val="32"/>
          <w:szCs w:val="32"/>
          <w:lang w:val="en-US" w:eastAsia="zh-CN"/>
        </w:rPr>
        <w:t xml:space="preserve"> </w:t>
      </w:r>
    </w:p>
    <w:p>
      <w:pPr>
        <w:ind w:firstLine="3846" w:firstLineChars="1202"/>
        <w:rPr>
          <w:rFonts w:hint="default"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慈溪市</w:t>
      </w:r>
      <w:r>
        <w:rPr>
          <w:rFonts w:hint="default" w:ascii="华文仿宋" w:hAnsi="华文仿宋" w:eastAsia="华文仿宋" w:cs="华文仿宋"/>
          <w:color w:val="auto"/>
          <w:sz w:val="32"/>
          <w:szCs w:val="32"/>
          <w:lang w:val="en-US" w:eastAsia="zh-CN"/>
        </w:rPr>
        <w:t>知识产权局</w:t>
      </w:r>
      <w:r>
        <w:rPr>
          <w:rFonts w:hint="default" w:ascii="华文仿宋" w:hAnsi="华文仿宋" w:eastAsia="华文仿宋" w:cs="华文仿宋"/>
          <w:sz w:val="32"/>
          <w:szCs w:val="32"/>
          <w:lang w:val="en-US" w:eastAsia="zh-CN"/>
        </w:rPr>
        <w:t>（盖章）</w:t>
      </w:r>
    </w:p>
    <w:p>
      <w:pPr>
        <w:ind w:firstLine="4166" w:firstLineChars="1302"/>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202</w:t>
      </w:r>
      <w:r>
        <w:rPr>
          <w:rFonts w:hint="eastAsia" w:ascii="华文仿宋" w:hAnsi="华文仿宋" w:eastAsia="华文仿宋" w:cs="华文仿宋"/>
          <w:color w:val="auto"/>
          <w:sz w:val="32"/>
          <w:szCs w:val="32"/>
          <w:lang w:val="en-US" w:eastAsia="zh-CN"/>
        </w:rPr>
        <w:t>2</w:t>
      </w:r>
      <w:r>
        <w:rPr>
          <w:rFonts w:hint="default" w:ascii="华文仿宋" w:hAnsi="华文仿宋" w:eastAsia="华文仿宋" w:cs="华文仿宋"/>
          <w:color w:val="auto"/>
          <w:sz w:val="32"/>
          <w:szCs w:val="32"/>
          <w:lang w:val="en-US" w:eastAsia="zh-CN"/>
        </w:rPr>
        <w:t>年</w:t>
      </w:r>
      <w:r>
        <w:rPr>
          <w:rFonts w:hint="eastAsia" w:ascii="华文仿宋" w:hAnsi="华文仿宋" w:eastAsia="华文仿宋" w:cs="华文仿宋"/>
          <w:color w:val="auto"/>
          <w:sz w:val="32"/>
          <w:szCs w:val="32"/>
          <w:lang w:val="en-US" w:eastAsia="zh-CN"/>
        </w:rPr>
        <w:t>11</w:t>
      </w:r>
      <w:r>
        <w:rPr>
          <w:rFonts w:hint="default" w:ascii="华文仿宋" w:hAnsi="华文仿宋" w:eastAsia="华文仿宋" w:cs="华文仿宋"/>
          <w:color w:val="auto"/>
          <w:sz w:val="32"/>
          <w:szCs w:val="32"/>
          <w:lang w:val="en-US" w:eastAsia="zh-CN"/>
        </w:rPr>
        <w:t>月</w:t>
      </w:r>
      <w:r>
        <w:rPr>
          <w:rFonts w:hint="eastAsia" w:ascii="华文仿宋" w:hAnsi="华文仿宋" w:eastAsia="华文仿宋" w:cs="华文仿宋"/>
          <w:color w:val="auto"/>
          <w:sz w:val="32"/>
          <w:szCs w:val="32"/>
          <w:lang w:val="en-US" w:eastAsia="zh-CN"/>
        </w:rPr>
        <w:t>21</w:t>
      </w:r>
      <w:r>
        <w:rPr>
          <w:rFonts w:hint="default" w:ascii="华文仿宋" w:hAnsi="华文仿宋" w:eastAsia="华文仿宋" w:cs="华文仿宋"/>
          <w:color w:val="auto"/>
          <w:sz w:val="32"/>
          <w:szCs w:val="32"/>
          <w:lang w:val="en-US" w:eastAsia="zh-CN"/>
        </w:rPr>
        <w:t>日</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外观设计专利权被授予后，任何单位或者个人未经专利权人许可，都不得实施其专利，即不得为生产经营目的制造、许诺销售、销售、进口其外观设计专利产品。</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中华人民共和国专利法第六十四条：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外观设计专利权的保护范围以表示在图片或者照片中的该产品的外观设计为准，简要说明可以用于解释图片或者照片所表示的该产品的外观设计。</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中华人民共和国专利法第六十五条：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国家知识产权局专利行政执法办法第四十三条：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sz w:val="32"/>
          <w:szCs w:val="32"/>
        </w:rPr>
        <w:sectPr>
          <w:pgSz w:w="11906" w:h="16838"/>
          <w:pgMar w:top="1440" w:right="1800" w:bottom="1440" w:left="1800" w:header="851" w:footer="992" w:gutter="0"/>
          <w:cols w:space="425" w:num="1"/>
          <w:docGrid w:type="lines" w:linePitch="312" w:charSpace="0"/>
        </w:sect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p>
      <w:pPr>
        <w:ind w:firstLine="640" w:firstLineChars="200"/>
        <w:rPr>
          <w:rFonts w:hint="eastAsia" w:ascii="华文仿宋" w:hAnsi="华文仿宋" w:eastAsia="华文仿宋" w:cs="华文仿宋"/>
          <w:sz w:val="32"/>
          <w:szCs w:val="32"/>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D39E2"/>
    <w:rsid w:val="00A4168D"/>
    <w:rsid w:val="03095FA4"/>
    <w:rsid w:val="04B25724"/>
    <w:rsid w:val="075F26C1"/>
    <w:rsid w:val="07C254CD"/>
    <w:rsid w:val="07F767BA"/>
    <w:rsid w:val="085E3C58"/>
    <w:rsid w:val="09B66422"/>
    <w:rsid w:val="09DE131B"/>
    <w:rsid w:val="0A015462"/>
    <w:rsid w:val="0AF7548F"/>
    <w:rsid w:val="0B5F6B29"/>
    <w:rsid w:val="0B790B20"/>
    <w:rsid w:val="0C5E39E9"/>
    <w:rsid w:val="0C885FC3"/>
    <w:rsid w:val="0D0C6095"/>
    <w:rsid w:val="1184698E"/>
    <w:rsid w:val="11AF0604"/>
    <w:rsid w:val="124218D3"/>
    <w:rsid w:val="152C4024"/>
    <w:rsid w:val="158E7297"/>
    <w:rsid w:val="16A66965"/>
    <w:rsid w:val="18827C51"/>
    <w:rsid w:val="1B2E5898"/>
    <w:rsid w:val="1CCE250C"/>
    <w:rsid w:val="1CF5270C"/>
    <w:rsid w:val="1E6F28CC"/>
    <w:rsid w:val="1F355035"/>
    <w:rsid w:val="1FEF3EE1"/>
    <w:rsid w:val="20CB38B4"/>
    <w:rsid w:val="20F23836"/>
    <w:rsid w:val="217467FD"/>
    <w:rsid w:val="230040D2"/>
    <w:rsid w:val="23DD71F6"/>
    <w:rsid w:val="2475441E"/>
    <w:rsid w:val="2490426B"/>
    <w:rsid w:val="272F0D77"/>
    <w:rsid w:val="274D292F"/>
    <w:rsid w:val="2B585503"/>
    <w:rsid w:val="2BA87D38"/>
    <w:rsid w:val="2D4F6685"/>
    <w:rsid w:val="2D5F49EC"/>
    <w:rsid w:val="2E841CA9"/>
    <w:rsid w:val="31E04532"/>
    <w:rsid w:val="32B50D76"/>
    <w:rsid w:val="333A4686"/>
    <w:rsid w:val="34CB2BA5"/>
    <w:rsid w:val="3659267C"/>
    <w:rsid w:val="36D33D5B"/>
    <w:rsid w:val="37CE346A"/>
    <w:rsid w:val="38F01221"/>
    <w:rsid w:val="39A75AD0"/>
    <w:rsid w:val="3A993127"/>
    <w:rsid w:val="3AF81A54"/>
    <w:rsid w:val="3BA77312"/>
    <w:rsid w:val="3BFD6910"/>
    <w:rsid w:val="3CE32B80"/>
    <w:rsid w:val="3CE37ADE"/>
    <w:rsid w:val="3D166B23"/>
    <w:rsid w:val="3E441C2E"/>
    <w:rsid w:val="3EB30040"/>
    <w:rsid w:val="3EC62652"/>
    <w:rsid w:val="3EC77406"/>
    <w:rsid w:val="40127181"/>
    <w:rsid w:val="4026214D"/>
    <w:rsid w:val="410214DA"/>
    <w:rsid w:val="41EC7D7B"/>
    <w:rsid w:val="423C335B"/>
    <w:rsid w:val="42D85ABC"/>
    <w:rsid w:val="43C53FD7"/>
    <w:rsid w:val="44B42379"/>
    <w:rsid w:val="45B00309"/>
    <w:rsid w:val="47BD7906"/>
    <w:rsid w:val="480B558D"/>
    <w:rsid w:val="497A169C"/>
    <w:rsid w:val="4AC75A1F"/>
    <w:rsid w:val="4B0D39E2"/>
    <w:rsid w:val="4B8A1606"/>
    <w:rsid w:val="4BD571FE"/>
    <w:rsid w:val="4C775F54"/>
    <w:rsid w:val="4C9F35AA"/>
    <w:rsid w:val="4CA44C5E"/>
    <w:rsid w:val="4D33668B"/>
    <w:rsid w:val="4F7B604C"/>
    <w:rsid w:val="4F9B202B"/>
    <w:rsid w:val="51100A30"/>
    <w:rsid w:val="551D1000"/>
    <w:rsid w:val="55EB4E60"/>
    <w:rsid w:val="569C753A"/>
    <w:rsid w:val="586B579E"/>
    <w:rsid w:val="59D163CA"/>
    <w:rsid w:val="5B510165"/>
    <w:rsid w:val="5DC676F8"/>
    <w:rsid w:val="5DE945D6"/>
    <w:rsid w:val="5F1A17CC"/>
    <w:rsid w:val="5FA320FD"/>
    <w:rsid w:val="5FD01BF7"/>
    <w:rsid w:val="614917BE"/>
    <w:rsid w:val="62224762"/>
    <w:rsid w:val="6264142D"/>
    <w:rsid w:val="64204B34"/>
    <w:rsid w:val="64893DC5"/>
    <w:rsid w:val="64AA5A3C"/>
    <w:rsid w:val="65FA03A9"/>
    <w:rsid w:val="6639207E"/>
    <w:rsid w:val="66997988"/>
    <w:rsid w:val="69AB2A58"/>
    <w:rsid w:val="6A59735A"/>
    <w:rsid w:val="6A966C8A"/>
    <w:rsid w:val="6BBA1BDA"/>
    <w:rsid w:val="6C0D30A2"/>
    <w:rsid w:val="6D351B25"/>
    <w:rsid w:val="6E5204D7"/>
    <w:rsid w:val="6F306A5A"/>
    <w:rsid w:val="70A352DA"/>
    <w:rsid w:val="70EB542C"/>
    <w:rsid w:val="722A4D76"/>
    <w:rsid w:val="73087440"/>
    <w:rsid w:val="74390F52"/>
    <w:rsid w:val="74634C84"/>
    <w:rsid w:val="75A52D36"/>
    <w:rsid w:val="761D2499"/>
    <w:rsid w:val="766475AD"/>
    <w:rsid w:val="773D4F4E"/>
    <w:rsid w:val="775056CC"/>
    <w:rsid w:val="77A21137"/>
    <w:rsid w:val="7A28166F"/>
    <w:rsid w:val="7C535A1B"/>
    <w:rsid w:val="7C7E7003"/>
    <w:rsid w:val="7CCB61B7"/>
    <w:rsid w:val="7D222835"/>
    <w:rsid w:val="7F2B4A6D"/>
    <w:rsid w:val="7F3F047E"/>
    <w:rsid w:val="7FC72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2791</Words>
  <Characters>2960</Characters>
  <Lines>0</Lines>
  <Paragraphs>0</Paragraphs>
  <TotalTime>12</TotalTime>
  <ScaleCrop>false</ScaleCrop>
  <LinksUpToDate>false</LinksUpToDate>
  <CharactersWithSpaces>3047</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2022-06-29T07:46:00Z</dcterms:created>
  <dc:creator>幻云秋风</dc:creator>
  <cp:lastModifiedBy>幻云秋风</cp:lastModifiedBy>
  <cp:lastPrinted>2022-11-21T00:48:00Z</cp:lastPrinted>
  <dcterms:modified xsi:type="dcterms:W3CDTF">2023-08-31T08:28:31Z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CECF6752BBFD40E79E4E7DDEE6AB050E</vt:lpwstr>
  </property>
</Properties>
</file>