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74"/>
        <w:spacing w:afterLines="0" w:after="156" w:line="520" w:lineRule="exact"/>
        <w:jc w:val="both"/>
        <w:rPr>
          <w:rFonts w:ascii="Times New Roman" w:eastAsia="黑体" w:cs="Times New Roman" w:hAnsi="Times New Roman"/>
        </w:rPr>
      </w:pPr>
      <w:r>
        <w:rPr>
          <w:rFonts w:ascii="Times New Roman" w:eastAsia="黑体" w:cs="Times New Roman" w:hAnsi="Times New Roman"/>
        </w:rPr>
        <w:t>附件</w:t>
      </w:r>
    </w:p>
    <w:p/>
    <w:p>
      <w:pPr>
        <w:spacing w:line="520" w:lineRule="exact"/>
        <w:jc w:val="center"/>
        <w:rPr>
          <w:rFonts w:ascii="Times New Roman" w:eastAsia="方正小标宋简体" w:cs="Times New Roman" w:hAnsi="Times New Roman"/>
          <w:sz w:val="44"/>
          <w:szCs w:val="44"/>
        </w:rPr>
      </w:pPr>
      <w:bookmarkStart w:id="0" w:name="_GoBack"/>
      <w:r>
        <w:rPr>
          <w:rFonts w:ascii="Times New Roman" w:eastAsia="方正小标宋简体" w:cs="Times New Roman" w:hAnsi="Times New Roman"/>
          <w:sz w:val="44"/>
          <w:szCs w:val="44"/>
        </w:rPr>
        <w:t>慈溪市公安局2022年重大行政决策事项目录清单</w:t>
      </w:r>
    </w:p>
    <w:p>
      <w:pPr>
        <w:spacing w:line="520" w:lineRule="exact"/>
        <w:rPr>
          <w:rFonts w:ascii="Times New Roman" w:eastAsia="方正小标宋简体" w:cs="Times New Roman" w:hAnsi="Times New Roman"/>
          <w:sz w:val="32"/>
          <w:szCs w:val="32"/>
        </w:rPr>
      </w:pPr>
      <w:bookmarkEnd w:id="0"/>
    </w:p>
    <w:tbl>
      <w:tblPr>
        <w:jc w:val="center"/>
        <w:tblW w:w="132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5"/>
        <w:gridCol w:w="3302"/>
        <w:gridCol w:w="1752"/>
        <w:gridCol w:w="1245"/>
        <w:gridCol w:w="1290"/>
        <w:gridCol w:w="2718"/>
        <w:gridCol w:w="2052"/>
      </w:tblGrid>
      <w:tr>
        <w:trPr>
          <w:trHeight w:val="597"/>
        </w:trPr>
        <w:tc>
          <w:tcPr>
            <w:tcW w:w="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52" w:lineRule="exact"/>
              <w:jc w:val="center"/>
              <w:rPr>
                <w:rFonts w:ascii="Times New Roman" w:eastAsia="黑体" w:cs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黑体" w:cs="Times New Roman" w:hAnsi="Times New Roman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30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52" w:lineRule="exact"/>
              <w:jc w:val="center"/>
              <w:rPr>
                <w:rFonts w:ascii="Times New Roman" w:eastAsia="黑体" w:cs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黑体" w:cs="Times New Roman" w:hAnsi="Times New Roman"/>
                <w:bCs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17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黑体" w:cs="Times New Roman" w:hAnsi="Times New Roman" w:hint="eastAsia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="黑体" w:cs="Times New Roman" w:hAnsi="Times New Roman" w:hint="eastAsia"/>
                <w:bCs/>
                <w:kern w:val="0"/>
                <w:sz w:val="24"/>
                <w:szCs w:val="24"/>
                <w:lang w:eastAsia="zh-CN"/>
              </w:rPr>
              <w:t>决策主体</w:t>
            </w:r>
          </w:p>
        </w:tc>
        <w:tc>
          <w:tcPr>
            <w:tcW w:w="12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黑体" w:cs="Times New Roman" w:hAnsi="Times New Roman" w:hint="eastAsia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="黑体" w:cs="Times New Roman" w:hAnsi="Times New Roman"/>
                <w:bCs/>
                <w:kern w:val="0"/>
                <w:sz w:val="24"/>
                <w:szCs w:val="24"/>
              </w:rPr>
              <w:t>承办</w:t>
            </w:r>
            <w:r>
              <w:rPr>
                <w:rFonts w:ascii="Times New Roman" w:eastAsia="黑体" w:cs="Times New Roman" w:hAnsi="Times New Roman" w:hint="eastAsia"/>
                <w:bCs/>
                <w:kern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2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黑体" w:cs="Times New Roman" w:hAnsi="Times New Roman" w:hint="eastAsia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="黑体" w:cs="Times New Roman" w:hAnsi="Times New Roman" w:hint="eastAsia"/>
                <w:bCs/>
                <w:kern w:val="0"/>
                <w:sz w:val="24"/>
                <w:szCs w:val="24"/>
                <w:lang w:eastAsia="zh-CN"/>
              </w:rPr>
              <w:t>决策程序</w:t>
            </w:r>
          </w:p>
        </w:tc>
        <w:tc>
          <w:tcPr>
            <w:tcW w:w="27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line="552" w:lineRule="exact"/>
              <w:jc w:val="center"/>
              <w:rPr>
                <w:rFonts w:ascii="Times New Roman" w:eastAsia="黑体" w:cs="Times New Roman" w:hAnsi="Times New Roman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="黑体" w:cs="Times New Roman" w:hAnsi="Times New Roman" w:hint="eastAsia"/>
                <w:bCs/>
                <w:kern w:val="0"/>
                <w:sz w:val="24"/>
                <w:szCs w:val="24"/>
                <w:lang w:eastAsia="zh-CN"/>
              </w:rPr>
              <w:t>决策依据</w:t>
            </w:r>
          </w:p>
        </w:tc>
        <w:tc>
          <w:tcPr>
            <w:tcW w:w="20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line="552" w:lineRule="exact"/>
              <w:jc w:val="center"/>
              <w:rPr>
                <w:rFonts w:ascii="Times New Roman" w:eastAsia="黑体" w:cs="Times New Roman" w:hAnsi="Times New Roman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="黑体" w:cs="Times New Roman" w:hAnsi="Times New Roman" w:hint="eastAsia"/>
                <w:bCs/>
                <w:kern w:val="0"/>
                <w:sz w:val="24"/>
                <w:szCs w:val="24"/>
                <w:lang w:eastAsia="zh-CN"/>
              </w:rPr>
              <w:t>时间安排</w:t>
            </w:r>
          </w:p>
        </w:tc>
      </w:tr>
      <w:tr>
        <w:trPr>
          <w:trHeight w:val="1005"/>
        </w:trPr>
        <w:tc>
          <w:tcPr>
            <w:tcW w:w="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52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30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  <w:t>北三环西（东）路（西三环北路—东三环北路）限制通行交通管理措施</w:t>
            </w:r>
          </w:p>
        </w:tc>
        <w:tc>
          <w:tcPr>
            <w:tcW w:w="17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52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eastAsia="zh-CN"/>
              </w:rPr>
              <w:t>慈溪市公安局</w:t>
            </w:r>
          </w:p>
        </w:tc>
        <w:tc>
          <w:tcPr>
            <w:tcW w:w="12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  <w:t>交警大队</w:t>
            </w:r>
          </w:p>
        </w:tc>
        <w:tc>
          <w:tcPr>
            <w:tcW w:w="12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公众参与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合法性审查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集体讨论</w:t>
            </w:r>
          </w:p>
        </w:tc>
        <w:tc>
          <w:tcPr>
            <w:tcW w:w="27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val="en-US" w:eastAsia="zh-CN"/>
              </w:rPr>
              <w:t>《中华人民共和国道路交通安全法》第三十九条等</w:t>
            </w:r>
          </w:p>
        </w:tc>
        <w:tc>
          <w:tcPr>
            <w:tcW w:w="20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2022年7月启动</w:t>
            </w:r>
          </w:p>
        </w:tc>
      </w:tr>
      <w:tr>
        <w:trPr>
          <w:trHeight w:val="960"/>
        </w:trPr>
        <w:tc>
          <w:tcPr>
            <w:tcW w:w="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52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330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  <w:t>大众路（寺马线—樟新公路）限制货车通行交通管理措施</w:t>
            </w:r>
          </w:p>
        </w:tc>
        <w:tc>
          <w:tcPr>
            <w:tcW w:w="17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52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eastAsia="zh-CN"/>
              </w:rPr>
              <w:t>慈溪市公安局</w:t>
            </w:r>
          </w:p>
        </w:tc>
        <w:tc>
          <w:tcPr>
            <w:tcW w:w="12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  <w:t>交警大队</w:t>
            </w:r>
          </w:p>
        </w:tc>
        <w:tc>
          <w:tcPr>
            <w:tcW w:w="12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公众参与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合法性审查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集体讨论</w:t>
            </w:r>
          </w:p>
        </w:tc>
        <w:tc>
          <w:tcPr>
            <w:tcW w:w="27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val="en-US" w:eastAsia="zh-CN"/>
              </w:rPr>
              <w:t>《中华人民共和国道路交通安全法》第三十九条等</w:t>
            </w:r>
          </w:p>
        </w:tc>
        <w:tc>
          <w:tcPr>
            <w:tcW w:w="20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2022年7月启动</w:t>
            </w:r>
          </w:p>
        </w:tc>
      </w:tr>
      <w:tr>
        <w:trPr>
          <w:trHeight w:val="1080"/>
        </w:trPr>
        <w:tc>
          <w:tcPr>
            <w:tcW w:w="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52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330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  <w:t>担山北路（北二环—北三环）单向通行交通组织</w:t>
            </w:r>
          </w:p>
        </w:tc>
        <w:tc>
          <w:tcPr>
            <w:tcW w:w="17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52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eastAsia="zh-CN"/>
              </w:rPr>
              <w:t>慈溪市公安局</w:t>
            </w:r>
          </w:p>
        </w:tc>
        <w:tc>
          <w:tcPr>
            <w:tcW w:w="12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  <w:t>交警大队</w:t>
            </w:r>
          </w:p>
        </w:tc>
        <w:tc>
          <w:tcPr>
            <w:tcW w:w="12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公众参与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合法性审查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集体讨论</w:t>
            </w:r>
          </w:p>
        </w:tc>
        <w:tc>
          <w:tcPr>
            <w:tcW w:w="27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val="en-US" w:eastAsia="zh-CN"/>
              </w:rPr>
              <w:t>《中华人民共和国道路交通安全法》第三十九条等</w:t>
            </w:r>
          </w:p>
        </w:tc>
        <w:tc>
          <w:tcPr>
            <w:tcW w:w="20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2022年10月启动</w:t>
            </w:r>
          </w:p>
        </w:tc>
      </w:tr>
      <w:tr>
        <w:trPr>
          <w:trHeight w:val="1020"/>
        </w:trPr>
        <w:tc>
          <w:tcPr>
            <w:tcW w:w="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52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330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  <w:t>教场山区块单向通行交通组织</w:t>
            </w:r>
          </w:p>
        </w:tc>
        <w:tc>
          <w:tcPr>
            <w:tcW w:w="17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52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eastAsia="zh-CN"/>
              </w:rPr>
              <w:t>慈溪市公安局</w:t>
            </w:r>
          </w:p>
        </w:tc>
        <w:tc>
          <w:tcPr>
            <w:tcW w:w="12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  <w:t>交警大队</w:t>
            </w:r>
          </w:p>
        </w:tc>
        <w:tc>
          <w:tcPr>
            <w:tcW w:w="12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公众参与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合法性审查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集体讨论</w:t>
            </w:r>
          </w:p>
        </w:tc>
        <w:tc>
          <w:tcPr>
            <w:tcW w:w="27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val="en-US" w:eastAsia="zh-CN"/>
              </w:rPr>
              <w:t>《中华人民共和国道路交通安全法》第三十九条等</w:t>
            </w:r>
          </w:p>
        </w:tc>
        <w:tc>
          <w:tcPr>
            <w:tcW w:w="20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2022年10月启动</w:t>
            </w:r>
          </w:p>
        </w:tc>
      </w:tr>
      <w:tr>
        <w:trPr>
          <w:trHeight w:val="1005"/>
        </w:trPr>
        <w:tc>
          <w:tcPr>
            <w:tcW w:w="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52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330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/>
                <w:sz w:val="30"/>
                <w:szCs w:val="30"/>
                <w:shd w:val="clear" w:color="auto" w:fill="FFFFFF"/>
                <w:lang w:eastAsia="zh-CN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  <w:t>文二路区块单向通行交通组织</w:t>
            </w:r>
          </w:p>
        </w:tc>
        <w:tc>
          <w:tcPr>
            <w:tcW w:w="17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52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eastAsia="zh-CN"/>
              </w:rPr>
              <w:t>慈溪市公安局</w:t>
            </w:r>
          </w:p>
        </w:tc>
        <w:tc>
          <w:tcPr>
            <w:tcW w:w="12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eastAsia="zh-CN"/>
              </w:rPr>
              <w:t>交警大队</w:t>
            </w:r>
          </w:p>
        </w:tc>
        <w:tc>
          <w:tcPr>
            <w:tcW w:w="12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公众参与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合法性审查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集体讨论</w:t>
            </w:r>
          </w:p>
        </w:tc>
        <w:tc>
          <w:tcPr>
            <w:tcW w:w="27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24"/>
                <w:shd w:val="clear" w:color="auto" w:fill="FFFFFF"/>
                <w:lang w:val="en-US" w:eastAsia="zh-CN"/>
              </w:rPr>
              <w:t>《中华人民共和国道路交通安全法》第三十九条等</w:t>
            </w:r>
          </w:p>
        </w:tc>
        <w:tc>
          <w:tcPr>
            <w:tcW w:w="20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ascii="Times New Roman" w:eastAsia="仿宋_GB2312" w:cs="Times New Roman" w:hAnsi="Times New Roman" w:hint="eastAsia"/>
                <w:sz w:val="24"/>
                <w:szCs w:val="24"/>
                <w:shd w:val="clear" w:color="auto" w:fill="FFFFFF"/>
                <w:lang w:val="en-US" w:eastAsia="zh-CN"/>
              </w:rPr>
              <w:t>2022年10月启动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rPr>
          <w:rFonts w:ascii="宋体"/>
        </w:rPr>
      </w:pPr>
    </w:p>
    <w:sectPr>
      <w:pgSz w:w="16838" w:h="11906" w:orient="landscape"/>
      <w:pgMar w:top="1587" w:right="2098" w:bottom="1474" w:left="1984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仿宋_GB2312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auto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Cambria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楷体_GB2312"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5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74">
    <w:name w:val="Subtitle"/>
    <w:next w:val="0"/>
    <w:pPr>
      <w:widowControl w:val="0"/>
      <w:spacing w:before="100" w:beforeAutospacing="1" w:afterLines="50" w:after="50" w:line="312" w:lineRule="atLeast"/>
      <w:jc w:val="center"/>
      <w:outlineLvl w:val="1"/>
    </w:pPr>
    <w:rPr>
      <w:rFonts w:ascii="Cambria" w:eastAsia="楷体_GB2312" w:cs="Times New Roman" w:hAnsi="Cambria"/>
      <w:kern w:val="28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20</Words>
  <Characters>23</Characters>
  <Lines>1</Lines>
  <Paragraphs>1</Paragraphs>
  <CharactersWithSpaces>23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zzc</dc:creator>
  <cp:lastModifiedBy>zzc</cp:lastModifiedBy>
  <cp:revision>0</cp:revision>
  <dcterms:created xsi:type="dcterms:W3CDTF">2022-03-29T02:07:31Z</dcterms:created>
  <dcterms:modified xsi:type="dcterms:W3CDTF">2022-03-29T02:07:41Z</dcterms:modified>
</cp:coreProperties>
</file>