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华文仿宋" w:hAnsi="华文仿宋" w:eastAsia="华文仿宋" w:cs="华文仿宋"/>
          <w:b/>
          <w:bCs/>
          <w:sz w:val="44"/>
          <w:szCs w:val="44"/>
          <w:lang w:val="en-US" w:eastAsia="zh-CN"/>
        </w:rPr>
      </w:pPr>
      <w:r>
        <w:rPr>
          <w:rFonts w:hint="eastAsia" w:ascii="华文仿宋" w:hAnsi="华文仿宋" w:eastAsia="华文仿宋" w:cs="华文仿宋"/>
          <w:b/>
          <w:bCs/>
          <w:sz w:val="44"/>
          <w:szCs w:val="44"/>
          <w:lang w:val="en-US" w:eastAsia="zh-CN"/>
        </w:rPr>
        <w:t>慈溪</w:t>
      </w:r>
      <w:r>
        <w:rPr>
          <w:rFonts w:hint="eastAsia" w:ascii="华文仿宋" w:hAnsi="华文仿宋" w:eastAsia="华文仿宋" w:cs="华文仿宋"/>
          <w:b/>
          <w:bCs/>
          <w:sz w:val="44"/>
          <w:szCs w:val="44"/>
          <w:lang w:eastAsia="zh-CN"/>
        </w:rPr>
        <w:t>市</w:t>
      </w:r>
      <w:r>
        <w:rPr>
          <w:rFonts w:hint="eastAsia" w:ascii="华文仿宋" w:hAnsi="华文仿宋" w:eastAsia="华文仿宋" w:cs="华文仿宋"/>
          <w:b/>
          <w:bCs/>
          <w:sz w:val="44"/>
          <w:szCs w:val="44"/>
          <w:lang w:val="en-US" w:eastAsia="zh-CN"/>
        </w:rPr>
        <w:t>知识产权</w:t>
      </w:r>
      <w:r>
        <w:rPr>
          <w:rFonts w:hint="eastAsia" w:ascii="华文仿宋" w:hAnsi="华文仿宋" w:eastAsia="华文仿宋" w:cs="华文仿宋"/>
          <w:b/>
          <w:bCs/>
          <w:sz w:val="44"/>
          <w:szCs w:val="44"/>
        </w:rPr>
        <w:t>局专利侵权纠纷</w:t>
      </w:r>
      <w:r>
        <w:rPr>
          <w:rFonts w:hint="eastAsia" w:ascii="华文仿宋" w:hAnsi="华文仿宋" w:eastAsia="华文仿宋" w:cs="华文仿宋"/>
          <w:b/>
          <w:bCs/>
          <w:sz w:val="44"/>
          <w:szCs w:val="44"/>
          <w:lang w:val="en-US" w:eastAsia="zh-CN"/>
        </w:rPr>
        <w:t>案件</w:t>
      </w:r>
    </w:p>
    <w:p>
      <w:pPr>
        <w:jc w:val="center"/>
        <w:rPr>
          <w:rFonts w:hint="eastAsia" w:ascii="华文仿宋" w:hAnsi="华文仿宋" w:eastAsia="华文仿宋" w:cs="华文仿宋"/>
          <w:b/>
          <w:bCs/>
          <w:sz w:val="44"/>
          <w:szCs w:val="44"/>
        </w:rPr>
      </w:pPr>
      <w:r>
        <w:rPr>
          <w:rFonts w:hint="eastAsia" w:ascii="华文仿宋" w:hAnsi="华文仿宋" w:eastAsia="华文仿宋" w:cs="华文仿宋"/>
          <w:b/>
          <w:bCs/>
          <w:sz w:val="44"/>
          <w:szCs w:val="44"/>
          <w:lang w:val="en-US" w:eastAsia="zh-CN"/>
        </w:rPr>
        <w:t>行政裁决</w:t>
      </w:r>
      <w:r>
        <w:rPr>
          <w:rFonts w:hint="eastAsia" w:ascii="华文仿宋" w:hAnsi="华文仿宋" w:eastAsia="华文仿宋" w:cs="华文仿宋"/>
          <w:b/>
          <w:bCs/>
          <w:sz w:val="44"/>
          <w:szCs w:val="44"/>
        </w:rPr>
        <w:t>书</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lang w:val="en-US" w:eastAsia="zh-CN"/>
        </w:rPr>
        <w:t xml:space="preserve">                    案号:甬慈知法裁字〔2023〕5号</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请求人</w:t>
      </w:r>
      <w:r>
        <w:rPr>
          <w:rFonts w:hint="eastAsia" w:ascii="华文仿宋" w:hAnsi="华文仿宋" w:eastAsia="华文仿宋" w:cs="华文仿宋"/>
          <w:sz w:val="32"/>
          <w:szCs w:val="32"/>
          <w:lang w:eastAsia="zh-CN"/>
        </w:rPr>
        <w:t>：</w:t>
      </w:r>
      <w:r>
        <w:rPr>
          <w:rFonts w:hint="eastAsia" w:ascii="华文仿宋" w:hAnsi="华文仿宋" w:eastAsia="华文仿宋" w:cs="华文仿宋"/>
          <w:sz w:val="32"/>
          <w:szCs w:val="32"/>
        </w:rPr>
        <w:t>宁波赛尼特照明电器有限公司</w:t>
      </w:r>
    </w:p>
    <w:p>
      <w:pPr>
        <w:rPr>
          <w:rFonts w:hint="eastAsia" w:ascii="华文仿宋" w:hAnsi="华文仿宋" w:eastAsia="华文仿宋" w:cs="华文仿宋"/>
          <w:sz w:val="32"/>
          <w:szCs w:val="32"/>
          <w:lang w:eastAsia="zh-CN"/>
        </w:rPr>
      </w:pPr>
      <w:r>
        <w:rPr>
          <w:rFonts w:hint="eastAsia" w:ascii="华文仿宋" w:hAnsi="华文仿宋" w:eastAsia="华文仿宋" w:cs="华文仿宋"/>
          <w:sz w:val="32"/>
          <w:szCs w:val="32"/>
        </w:rPr>
        <w:t>被请求人</w:t>
      </w:r>
      <w:r>
        <w:rPr>
          <w:rFonts w:hint="eastAsia" w:ascii="华文仿宋" w:hAnsi="华文仿宋" w:eastAsia="华文仿宋" w:cs="华文仿宋"/>
          <w:sz w:val="32"/>
          <w:szCs w:val="32"/>
          <w:lang w:eastAsia="zh-CN"/>
        </w:rPr>
        <w:t>：慈溪市吉富照明电器有限公司</w:t>
      </w:r>
    </w:p>
    <w:p>
      <w:pPr>
        <w:rPr>
          <w:rFonts w:hint="eastAsia" w:ascii="华文仿宋" w:hAnsi="华文仿宋" w:eastAsia="华文仿宋" w:cs="华文仿宋"/>
          <w:sz w:val="32"/>
          <w:szCs w:val="32"/>
          <w:lang w:val="en-US" w:eastAsia="zh-CN"/>
        </w:rPr>
      </w:pPr>
      <w:bookmarkStart w:id="0" w:name="_GoBack"/>
      <w:bookmarkEnd w:id="0"/>
    </w:p>
    <w:p>
      <w:pPr>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案由：宁波赛尼特照明电器有限公司诉慈溪市吉富照明电器有限公司的三防灯的外观设计专利案，专利名称“三防灯”，专利号：ZL202030569499.4</w:t>
      </w:r>
    </w:p>
    <w:p>
      <w:pPr>
        <w:rPr>
          <w:rFonts w:hint="eastAsia" w:ascii="华文仿宋" w:hAnsi="华文仿宋" w:eastAsia="华文仿宋" w:cs="华文仿宋"/>
          <w:sz w:val="32"/>
          <w:szCs w:val="32"/>
          <w:lang w:val="en-US" w:eastAsia="zh-CN"/>
        </w:rPr>
      </w:pP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请求人就其“三防灯”的外观设计专利（专利号：ZL202030569499.4）与被请求人的专利侵权纠纷，向我局提出处理请求。我局于2023年4月12日受理后，依照《专利行政执法办法》第十三条组成合议组。合议组于2023年5月11日进行了口头审理，请求人和被请求人到庭参加了口头审理。现本案已审结。</w:t>
      </w:r>
    </w:p>
    <w:p>
      <w:pPr>
        <w:ind w:firstLine="640"/>
        <w:rPr>
          <w:rFonts w:hint="default" w:ascii="华文仿宋" w:hAnsi="华文仿宋" w:eastAsia="华文仿宋" w:cs="华文仿宋"/>
          <w:sz w:val="32"/>
          <w:szCs w:val="32"/>
          <w:lang w:val="en-US" w:eastAsia="zh-CN"/>
        </w:rPr>
      </w:pPr>
      <w:r>
        <w:rPr>
          <w:rFonts w:hint="default" w:ascii="华文仿宋" w:hAnsi="华文仿宋" w:eastAsia="华文仿宋" w:cs="华文仿宋"/>
          <w:color w:val="auto"/>
          <w:sz w:val="32"/>
          <w:szCs w:val="32"/>
          <w:lang w:val="en-US" w:eastAsia="zh-CN"/>
        </w:rPr>
        <w:t>请求人</w:t>
      </w:r>
      <w:r>
        <w:rPr>
          <w:rFonts w:hint="eastAsia" w:ascii="华文仿宋" w:hAnsi="华文仿宋" w:eastAsia="华文仿宋" w:cs="华文仿宋"/>
          <w:color w:val="auto"/>
          <w:sz w:val="32"/>
          <w:szCs w:val="32"/>
          <w:lang w:val="en-US" w:eastAsia="zh-CN"/>
        </w:rPr>
        <w:t>诉求：1.责令被请求人立即停止侵权行为，停止生产、销售、许诺销售侵犯请求人的专利产品；2.立即销毁制造侵权产品的专用设备和模具；3.造成的损失给予经济赔偿。</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事实与理由：请求人于2020年9月23日向国家知识产权局申请了上述涉案专利，该专利在2021年3月2日被授权公告，专利号为ZL202030569499.4，请求人至今仍享有该专利权。请求人提供了外观设计专利权评价报告。请求人发现慈溪市吉富照明电器有限公司在官网展示并销售其专利产品。请求人根据慈溪市吉富照明电器有限公司在官网展示的</w:t>
      </w:r>
      <w:r>
        <w:rPr>
          <w:rFonts w:hint="eastAsia" w:ascii="华文仿宋" w:hAnsi="华文仿宋" w:eastAsia="华文仿宋" w:cs="华文仿宋"/>
          <w:color w:val="auto"/>
          <w:sz w:val="32"/>
          <w:szCs w:val="32"/>
          <w:lang w:eastAsia="zh-CN"/>
        </w:rPr>
        <w:t>产品</w:t>
      </w:r>
      <w:r>
        <w:rPr>
          <w:rFonts w:hint="eastAsia" w:ascii="华文仿宋" w:hAnsi="华文仿宋" w:eastAsia="华文仿宋" w:cs="华文仿宋"/>
          <w:color w:val="auto"/>
          <w:sz w:val="32"/>
          <w:szCs w:val="32"/>
          <w:lang w:val="en-US" w:eastAsia="zh-CN"/>
        </w:rPr>
        <w:t>的图片</w:t>
      </w:r>
      <w:r>
        <w:rPr>
          <w:rFonts w:hint="eastAsia" w:ascii="华文仿宋" w:hAnsi="华文仿宋" w:eastAsia="华文仿宋" w:cs="华文仿宋"/>
          <w:color w:val="auto"/>
          <w:sz w:val="32"/>
          <w:szCs w:val="32"/>
          <w:lang w:eastAsia="zh-CN"/>
        </w:rPr>
        <w:t>，与专利进行了比对，认为产品侵犯了请求人的外观设计专利权。</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被请求人辩称，</w:t>
      </w:r>
      <w:r>
        <w:rPr>
          <w:rFonts w:hint="eastAsia" w:ascii="华文仿宋" w:hAnsi="华文仿宋" w:eastAsia="华文仿宋" w:cs="华文仿宋"/>
          <w:color w:val="auto"/>
          <w:sz w:val="32"/>
          <w:szCs w:val="32"/>
          <w:lang w:val="en-US" w:eastAsia="zh-CN"/>
        </w:rPr>
        <w:t>本公司生产的三防灯产品同样拥有外观设计专利证书，并未侵犯请求人的专利。该外观设计专利名称为“三防灯”，专利号ZL202030557120.8，由耿磊、华迪于2020年9月18日申请，2021年2月9日授权，时间早于请求人专利授权时间。</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当事人围绕请求事项依法提交了证据，我局组织当事人进行了举证和质证。对当事人无异议的证据，我局予以确认并在卷佐证。</w:t>
      </w:r>
    </w:p>
    <w:p>
      <w:pPr>
        <w:ind w:firstLine="640"/>
        <w:rPr>
          <w:rFonts w:hint="eastAsia" w:ascii="华文仿宋" w:hAnsi="华文仿宋" w:eastAsia="华文仿宋" w:cs="华文仿宋"/>
          <w:sz w:val="32"/>
          <w:szCs w:val="32"/>
          <w:lang w:val="en-US" w:eastAsia="zh-CN"/>
        </w:rPr>
      </w:pPr>
      <w:r>
        <w:rPr>
          <w:rFonts w:hint="eastAsia" w:ascii="华文仿宋" w:hAnsi="华文仿宋" w:eastAsia="华文仿宋" w:cs="华文仿宋"/>
          <w:sz w:val="32"/>
          <w:szCs w:val="32"/>
          <w:lang w:val="en-US" w:eastAsia="zh-CN"/>
        </w:rPr>
        <w:t>根据当事人陈述和经审查确认的证据，我局认定事实如下：</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涉案外观设计专利的专利号为ZL202030569499.4，名称“三防灯”，该专利申请日为2020年9月23日，授权公告日为2021年3月2日，该专利现处于法律保护有效期内。外观设计专利权评价报告结论为：全部外观设计未发现存在不符合授予专利权条件的缺陷。</w:t>
      </w:r>
    </w:p>
    <w:p>
      <w:pPr>
        <w:ind w:firstLine="640"/>
        <w:rPr>
          <w:rFonts w:hint="eastAsia" w:ascii="华文仿宋" w:hAnsi="华文仿宋" w:eastAsia="华文仿宋" w:cs="华文仿宋"/>
          <w:color w:val="auto"/>
          <w:sz w:val="32"/>
          <w:szCs w:val="32"/>
          <w:lang w:val="en-US" w:eastAsia="zh-CN"/>
        </w:rPr>
      </w:pPr>
      <w:r>
        <w:rPr>
          <w:rFonts w:hint="eastAsia" w:ascii="华文仿宋" w:hAnsi="华文仿宋" w:eastAsia="华文仿宋" w:cs="华文仿宋"/>
          <w:sz w:val="32"/>
          <w:szCs w:val="32"/>
          <w:lang w:val="en-US" w:eastAsia="zh-CN"/>
        </w:rPr>
        <w:t>根据已查明的事实，结合请求方与被请求方诉请和庭审内容，本案的争议焦</w:t>
      </w:r>
      <w:r>
        <w:rPr>
          <w:rFonts w:hint="eastAsia" w:ascii="华文仿宋" w:hAnsi="华文仿宋" w:eastAsia="华文仿宋" w:cs="华文仿宋"/>
          <w:color w:val="auto"/>
          <w:sz w:val="32"/>
          <w:szCs w:val="32"/>
          <w:lang w:val="en-US" w:eastAsia="zh-CN"/>
        </w:rPr>
        <w:t>点为：被请求人提出的专利抵触申请抗辩是否成立。</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关于争议焦点，</w:t>
      </w:r>
      <w:r>
        <w:rPr>
          <w:rFonts w:hint="eastAsia" w:ascii="华文仿宋" w:hAnsi="华文仿宋" w:eastAsia="华文仿宋" w:cs="华文仿宋"/>
          <w:color w:val="auto"/>
          <w:sz w:val="32"/>
          <w:szCs w:val="32"/>
          <w:lang w:val="en-US" w:eastAsia="zh-CN"/>
        </w:rPr>
        <w:t>通过对比设计所公告的专利文件全部内容，我局认为：</w:t>
      </w:r>
      <w:r>
        <w:rPr>
          <w:rFonts w:hint="default" w:ascii="华文仿宋" w:hAnsi="华文仿宋" w:eastAsia="华文仿宋" w:cs="华文仿宋"/>
          <w:color w:val="auto"/>
          <w:sz w:val="32"/>
          <w:szCs w:val="32"/>
          <w:lang w:val="en-US" w:eastAsia="zh-CN"/>
        </w:rPr>
        <w:t>被请求人提供</w:t>
      </w:r>
      <w:r>
        <w:rPr>
          <w:rFonts w:hint="eastAsia" w:ascii="华文仿宋" w:hAnsi="华文仿宋" w:eastAsia="华文仿宋" w:cs="华文仿宋"/>
          <w:color w:val="auto"/>
          <w:sz w:val="32"/>
          <w:szCs w:val="32"/>
          <w:lang w:val="en-US" w:eastAsia="zh-CN"/>
        </w:rPr>
        <w:t>的名称为“三防灯”的外观设计专利，其申请日为2020年9月18日，授权日期为2021年2月9日，与涉案专利的申请时间相比，满足了抵触申请申请在先公开在后的时间要件，且该专利与涉案专利是相同种类的外观设计。涉案被控产品属于三防灯具，与抵触申请专利相比，灯罩内部的条状筋结构相同，外形上的长宽比有所不同，我局认为两者的外观设计要素基本相同仅仅存在微小差异，构成实质相同，被请求人提出的专利抵触申请抗辩成立，</w:t>
      </w:r>
      <w:r>
        <w:rPr>
          <w:rFonts w:hint="default" w:ascii="华文仿宋" w:hAnsi="华文仿宋" w:eastAsia="华文仿宋" w:cs="华文仿宋"/>
          <w:color w:val="auto"/>
          <w:sz w:val="32"/>
          <w:szCs w:val="32"/>
          <w:lang w:val="en-US" w:eastAsia="zh-CN"/>
        </w:rPr>
        <w:t>本局</w:t>
      </w:r>
      <w:r>
        <w:rPr>
          <w:rFonts w:hint="eastAsia" w:ascii="华文仿宋" w:hAnsi="华文仿宋" w:eastAsia="华文仿宋" w:cs="华文仿宋"/>
          <w:color w:val="auto"/>
          <w:sz w:val="32"/>
          <w:szCs w:val="32"/>
          <w:lang w:val="en-US" w:eastAsia="zh-CN"/>
        </w:rPr>
        <w:t>予以</w:t>
      </w:r>
      <w:r>
        <w:rPr>
          <w:rFonts w:hint="default" w:ascii="华文仿宋" w:hAnsi="华文仿宋" w:eastAsia="华文仿宋" w:cs="华文仿宋"/>
          <w:color w:val="auto"/>
          <w:sz w:val="32"/>
          <w:szCs w:val="32"/>
          <w:lang w:val="en-US" w:eastAsia="zh-CN"/>
        </w:rPr>
        <w:t>采纳。</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我局已经对该专利侵权纠纷进行了调解，双方无法达成一致意见。依据《中华人民共和国专利法》第十一条、第六十四、六十五条，《专利行政执法办法》第四十三条的规定，我局作出处理决定如下：</w:t>
      </w: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驳回请求人的全部主张。</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双方当事人对本处理决定不服的，可根据《中华人民共和国专利法》第六十</w:t>
      </w:r>
      <w:r>
        <w:rPr>
          <w:rFonts w:hint="eastAsia" w:ascii="华文仿宋" w:hAnsi="华文仿宋" w:eastAsia="华文仿宋" w:cs="华文仿宋"/>
          <w:color w:val="auto"/>
          <w:sz w:val="32"/>
          <w:szCs w:val="32"/>
          <w:lang w:val="en-US" w:eastAsia="zh-CN"/>
        </w:rPr>
        <w:t>五</w:t>
      </w:r>
      <w:r>
        <w:rPr>
          <w:rFonts w:hint="default" w:ascii="华文仿宋" w:hAnsi="华文仿宋" w:eastAsia="华文仿宋" w:cs="华文仿宋"/>
          <w:color w:val="auto"/>
          <w:sz w:val="32"/>
          <w:szCs w:val="32"/>
          <w:lang w:val="en-US" w:eastAsia="zh-CN"/>
        </w:rPr>
        <w:t>条的规定，自收到本处理决定书之日起15日内，向浙江省宁波市中级人民法院起诉。期满不起诉又不履行行政裁决的，本局将申请人民法院强制执行。</w:t>
      </w:r>
    </w:p>
    <w:p>
      <w:pPr>
        <w:ind w:firstLine="640"/>
        <w:rPr>
          <w:rFonts w:hint="default" w:ascii="华文仿宋" w:hAnsi="华文仿宋" w:eastAsia="华文仿宋" w:cs="华文仿宋"/>
          <w:color w:val="auto"/>
          <w:sz w:val="32"/>
          <w:szCs w:val="32"/>
          <w:lang w:val="en-US" w:eastAsia="zh-CN"/>
        </w:rPr>
      </w:pPr>
    </w:p>
    <w:p>
      <w:pPr>
        <w:ind w:firstLine="640"/>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慈溪</w:t>
      </w:r>
      <w:r>
        <w:rPr>
          <w:rFonts w:hint="default" w:ascii="华文仿宋" w:hAnsi="华文仿宋" w:eastAsia="华文仿宋" w:cs="华文仿宋"/>
          <w:color w:val="auto"/>
          <w:sz w:val="32"/>
          <w:szCs w:val="32"/>
          <w:lang w:val="en-US" w:eastAsia="zh-CN"/>
        </w:rPr>
        <w:t>市市场监督管理局（知识产权局）</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地址：</w:t>
      </w:r>
      <w:r>
        <w:rPr>
          <w:rFonts w:hint="eastAsia" w:ascii="华文仿宋" w:hAnsi="华文仿宋" w:eastAsia="华文仿宋" w:cs="华文仿宋"/>
          <w:color w:val="auto"/>
          <w:sz w:val="32"/>
          <w:szCs w:val="32"/>
        </w:rPr>
        <w:t>浙江省</w:t>
      </w:r>
      <w:r>
        <w:rPr>
          <w:rFonts w:hint="eastAsia" w:ascii="华文仿宋" w:hAnsi="华文仿宋" w:eastAsia="华文仿宋" w:cs="华文仿宋"/>
          <w:color w:val="auto"/>
          <w:sz w:val="32"/>
          <w:szCs w:val="32"/>
          <w:lang w:val="en-US" w:eastAsia="zh-CN"/>
        </w:rPr>
        <w:t>慈溪市古塘街道开发大道238</w:t>
      </w:r>
      <w:r>
        <w:rPr>
          <w:rFonts w:hint="eastAsia" w:ascii="华文仿宋" w:hAnsi="华文仿宋" w:eastAsia="华文仿宋" w:cs="华文仿宋"/>
          <w:color w:val="auto"/>
          <w:sz w:val="32"/>
          <w:szCs w:val="32"/>
        </w:rPr>
        <w:t>号</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邮编：315</w:t>
      </w:r>
      <w:r>
        <w:rPr>
          <w:rFonts w:hint="eastAsia" w:ascii="华文仿宋" w:hAnsi="华文仿宋" w:eastAsia="华文仿宋" w:cs="华文仿宋"/>
          <w:color w:val="auto"/>
          <w:sz w:val="32"/>
          <w:szCs w:val="32"/>
          <w:lang w:val="en-US" w:eastAsia="zh-CN"/>
        </w:rPr>
        <w:t>3</w:t>
      </w:r>
      <w:r>
        <w:rPr>
          <w:rFonts w:hint="default" w:ascii="华文仿宋" w:hAnsi="华文仿宋" w:eastAsia="华文仿宋" w:cs="华文仿宋"/>
          <w:color w:val="auto"/>
          <w:sz w:val="32"/>
          <w:szCs w:val="32"/>
          <w:lang w:val="en-US" w:eastAsia="zh-CN"/>
        </w:rPr>
        <w:t>00</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联系电话：0574-</w:t>
      </w:r>
      <w:r>
        <w:rPr>
          <w:rFonts w:hint="eastAsia" w:ascii="华文仿宋" w:hAnsi="华文仿宋" w:eastAsia="华文仿宋" w:cs="华文仿宋"/>
          <w:color w:val="auto"/>
          <w:sz w:val="32"/>
          <w:szCs w:val="32"/>
          <w:lang w:val="en-US" w:eastAsia="zh-CN"/>
        </w:rPr>
        <w:t>63026415</w:t>
      </w:r>
    </w:p>
    <w:p>
      <w:pPr>
        <w:ind w:firstLine="640"/>
        <w:rPr>
          <w:rFonts w:hint="eastAsia"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合议组长：</w:t>
      </w:r>
      <w:r>
        <w:rPr>
          <w:rFonts w:hint="eastAsia" w:ascii="华文仿宋" w:hAnsi="华文仿宋" w:eastAsia="华文仿宋" w:cs="华文仿宋"/>
          <w:color w:val="auto"/>
          <w:sz w:val="32"/>
          <w:szCs w:val="32"/>
          <w:lang w:val="en-US" w:eastAsia="zh-CN"/>
        </w:rPr>
        <w:t>樊佳丽</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叶向阳</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审 理 员：</w:t>
      </w:r>
      <w:r>
        <w:rPr>
          <w:rFonts w:hint="eastAsia" w:ascii="华文仿宋" w:hAnsi="华文仿宋" w:eastAsia="华文仿宋" w:cs="华文仿宋"/>
          <w:color w:val="auto"/>
          <w:sz w:val="32"/>
          <w:szCs w:val="32"/>
          <w:lang w:val="en-US" w:eastAsia="zh-CN"/>
        </w:rPr>
        <w:t>罗雨洁</w:t>
      </w:r>
    </w:p>
    <w:p>
      <w:pPr>
        <w:ind w:firstLine="640"/>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书 记 员：</w:t>
      </w:r>
      <w:r>
        <w:rPr>
          <w:rFonts w:hint="eastAsia" w:ascii="华文仿宋" w:hAnsi="华文仿宋" w:eastAsia="华文仿宋" w:cs="华文仿宋"/>
          <w:color w:val="auto"/>
          <w:sz w:val="32"/>
          <w:szCs w:val="32"/>
          <w:lang w:val="en-US" w:eastAsia="zh-CN"/>
        </w:rPr>
        <w:t>杨子慧</w:t>
      </w:r>
      <w:r>
        <w:rPr>
          <w:rFonts w:hint="default" w:ascii="华文仿宋" w:hAnsi="华文仿宋" w:eastAsia="华文仿宋" w:cs="华文仿宋"/>
          <w:color w:val="auto"/>
          <w:sz w:val="32"/>
          <w:szCs w:val="32"/>
          <w:lang w:val="en-US" w:eastAsia="zh-CN"/>
        </w:rPr>
        <w:t xml:space="preserve"> </w:t>
      </w:r>
    </w:p>
    <w:p>
      <w:pPr>
        <w:ind w:firstLine="640"/>
        <w:rPr>
          <w:rFonts w:hint="default" w:ascii="华文仿宋" w:hAnsi="华文仿宋" w:eastAsia="华文仿宋" w:cs="华文仿宋"/>
          <w:color w:val="auto"/>
          <w:sz w:val="32"/>
          <w:szCs w:val="32"/>
          <w:lang w:val="en-US" w:eastAsia="zh-CN"/>
        </w:rPr>
      </w:pPr>
    </w:p>
    <w:p>
      <w:pPr>
        <w:ind w:firstLine="640"/>
        <w:rPr>
          <w:rFonts w:hint="default" w:ascii="华文仿宋" w:hAnsi="华文仿宋" w:eastAsia="华文仿宋" w:cs="华文仿宋"/>
          <w:color w:val="auto"/>
          <w:sz w:val="32"/>
          <w:szCs w:val="32"/>
          <w:lang w:val="en-US" w:eastAsia="zh-CN"/>
        </w:rPr>
      </w:pPr>
    </w:p>
    <w:p>
      <w:pPr>
        <w:ind w:firstLine="3846" w:firstLineChars="1202"/>
        <w:rPr>
          <w:rFonts w:hint="default" w:ascii="华文仿宋" w:hAnsi="华文仿宋" w:eastAsia="华文仿宋" w:cs="华文仿宋"/>
          <w:color w:val="auto"/>
          <w:sz w:val="32"/>
          <w:szCs w:val="32"/>
          <w:lang w:val="en-US" w:eastAsia="zh-CN"/>
        </w:rPr>
      </w:pPr>
      <w:r>
        <w:rPr>
          <w:rFonts w:hint="eastAsia" w:ascii="华文仿宋" w:hAnsi="华文仿宋" w:eastAsia="华文仿宋" w:cs="华文仿宋"/>
          <w:color w:val="auto"/>
          <w:sz w:val="32"/>
          <w:szCs w:val="32"/>
          <w:lang w:val="en-US" w:eastAsia="zh-CN"/>
        </w:rPr>
        <w:t>慈溪市</w:t>
      </w:r>
      <w:r>
        <w:rPr>
          <w:rFonts w:hint="default" w:ascii="华文仿宋" w:hAnsi="华文仿宋" w:eastAsia="华文仿宋" w:cs="华文仿宋"/>
          <w:color w:val="auto"/>
          <w:sz w:val="32"/>
          <w:szCs w:val="32"/>
          <w:lang w:val="en-US" w:eastAsia="zh-CN"/>
        </w:rPr>
        <w:t>知识产权局（盖章）</w:t>
      </w:r>
    </w:p>
    <w:p>
      <w:pPr>
        <w:ind w:firstLine="4166" w:firstLineChars="1302"/>
        <w:rPr>
          <w:rFonts w:hint="default" w:ascii="华文仿宋" w:hAnsi="华文仿宋" w:eastAsia="华文仿宋" w:cs="华文仿宋"/>
          <w:color w:val="auto"/>
          <w:sz w:val="32"/>
          <w:szCs w:val="32"/>
          <w:lang w:val="en-US" w:eastAsia="zh-CN"/>
        </w:rPr>
      </w:pPr>
      <w:r>
        <w:rPr>
          <w:rFonts w:hint="default" w:ascii="华文仿宋" w:hAnsi="华文仿宋" w:eastAsia="华文仿宋" w:cs="华文仿宋"/>
          <w:color w:val="auto"/>
          <w:sz w:val="32"/>
          <w:szCs w:val="32"/>
          <w:lang w:val="en-US" w:eastAsia="zh-CN"/>
        </w:rPr>
        <w:t>202</w:t>
      </w:r>
      <w:r>
        <w:rPr>
          <w:rFonts w:hint="eastAsia" w:ascii="华文仿宋" w:hAnsi="华文仿宋" w:eastAsia="华文仿宋" w:cs="华文仿宋"/>
          <w:color w:val="auto"/>
          <w:sz w:val="32"/>
          <w:szCs w:val="32"/>
          <w:lang w:val="en-US" w:eastAsia="zh-CN"/>
        </w:rPr>
        <w:t>3</w:t>
      </w:r>
      <w:r>
        <w:rPr>
          <w:rFonts w:hint="default" w:ascii="华文仿宋" w:hAnsi="华文仿宋" w:eastAsia="华文仿宋" w:cs="华文仿宋"/>
          <w:color w:val="auto"/>
          <w:sz w:val="32"/>
          <w:szCs w:val="32"/>
          <w:lang w:val="en-US" w:eastAsia="zh-CN"/>
        </w:rPr>
        <w:t>年</w:t>
      </w:r>
      <w:r>
        <w:rPr>
          <w:rFonts w:hint="eastAsia" w:ascii="华文仿宋" w:hAnsi="华文仿宋" w:eastAsia="华文仿宋" w:cs="华文仿宋"/>
          <w:color w:val="auto"/>
          <w:sz w:val="32"/>
          <w:szCs w:val="32"/>
          <w:lang w:val="en-US" w:eastAsia="zh-CN"/>
        </w:rPr>
        <w:t>7</w:t>
      </w:r>
      <w:r>
        <w:rPr>
          <w:rFonts w:hint="default" w:ascii="华文仿宋" w:hAnsi="华文仿宋" w:eastAsia="华文仿宋" w:cs="华文仿宋"/>
          <w:color w:val="auto"/>
          <w:sz w:val="32"/>
          <w:szCs w:val="32"/>
          <w:lang w:val="en-US" w:eastAsia="zh-CN"/>
        </w:rPr>
        <w:t>月</w:t>
      </w:r>
      <w:r>
        <w:rPr>
          <w:rFonts w:hint="eastAsia" w:ascii="华文仿宋" w:hAnsi="华文仿宋" w:eastAsia="华文仿宋" w:cs="华文仿宋"/>
          <w:color w:val="auto"/>
          <w:sz w:val="32"/>
          <w:szCs w:val="32"/>
          <w:lang w:val="en-US" w:eastAsia="zh-CN"/>
        </w:rPr>
        <w:t>4</w:t>
      </w:r>
      <w:r>
        <w:rPr>
          <w:rFonts w:hint="default" w:ascii="华文仿宋" w:hAnsi="华文仿宋" w:eastAsia="华文仿宋" w:cs="华文仿宋"/>
          <w:color w:val="auto"/>
          <w:sz w:val="32"/>
          <w:szCs w:val="32"/>
          <w:lang w:val="en-US" w:eastAsia="zh-CN"/>
        </w:rPr>
        <w:t>日</w:t>
      </w: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附法律法规：                                    </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中华人民共和国专利法第十一条：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和实用新型专利权被授予后，除本法另有规定的以外，任何单位或者个人未经专利权人许可，都不得实施其专利，即不得为生产经营目的制造、使用、许诺销售、销售、进口其专利产品，或者使用其专利方法以及使用、许诺销售、销售、进口依照该专利方法直接获得的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外观设计专利权被授予后，任何单位或者个人未经专利权人许可，都不得实施其专利，即不得为生产经营目的制造、许诺销售、销售、进口其外观设计专利产品。</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中华人民共和国专利法第六十四条：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发明或者实用新型专利权的保护范围以其权利要求的内容为准，说明书及附图可以用于解释权利要求的内容。</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外观设计专利权的保护范围以表示在图片或者照片中的该产品的外观设计为准，简要说明可以用于解释图片或者照片所表示的该产品的外观设计。</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中华人民共和国专利法第六十五条：</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未经专利权人许可，实施其专利，即侵犯其专利权，引起纠纷的，由当事人协商解决；不愿协商或者协商不成的，专利权人或者利害关系人可以向人民法院起诉，也可以请求管理专利工作的部门处理。管理专利工作的部门处理时，认定侵权行为成立的，可以责令侵权人立即停止侵权行为，当事人不服的，可以自收到处理通知之日起十五日内依照《中华人民共和国行政诉讼法》向人民法院起诉；侵权人期满不起诉又不停止侵权行为的，管理专利工作的部门可以申请人民法院强制执行。进行处理的管理专利工作的部门应当事人的请求，可以就侵犯专利权的赔偿数额进行调解；调解不成的，当事人可以依照《中华人民共和国民事诉讼法》向人民法院起诉。</w:t>
      </w:r>
    </w:p>
    <w:p>
      <w:pPr>
        <w:rPr>
          <w:rFonts w:hint="eastAsia" w:ascii="华文仿宋" w:hAnsi="华文仿宋" w:eastAsia="华文仿宋" w:cs="华文仿宋"/>
          <w:sz w:val="32"/>
          <w:szCs w:val="32"/>
        </w:rPr>
      </w:pPr>
      <w:r>
        <w:rPr>
          <w:rFonts w:hint="eastAsia" w:ascii="华文仿宋" w:hAnsi="华文仿宋" w:eastAsia="华文仿宋" w:cs="华文仿宋"/>
          <w:sz w:val="32"/>
          <w:szCs w:val="32"/>
        </w:rPr>
        <w:t xml:space="preserve">国家知识产权局专利行政执法办法第四十三条： </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管理专利工作的部门认定专利侵权行为成立，作出处理决定，责令侵权人立即停止侵权行为的，应当采取下列制止侵权行为的措施：</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一）侵权人制造专利侵权产品的，责令其立即停止制造行为，销毁制造侵权产品的专用设备、模具，并且不得销售、使用尚未售出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二）侵权人未经专利权人许可使用专利方法的，责令侵权人立即停止使用行为，销毁实施专利方法的专用设备、模具，并且不得销售、使用尚未售出的依照专利方法所直接获得的侵权产品或者以任何其他形式将其投放市场；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三）侵权人销售专利侵权产品或者依照专利方法直接获得的侵权产品的，责令其立即停止销售行为，并且不得使用尚未售出的侵权产品或者以任何其他形式将其投放市场；尚未售出的侵权产品难以保存的，责令侵权人销毁该产品；</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（四）侵权人许诺销售专利侵权产品或者依照专利方法直接获得的侵权产品的，责令其立即停止许诺销售行为，消除影响，并且不得进行任何实际销售行为；</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五）侵权人进口专利侵权产品或者依照专利方法直接获得的侵权产品的，责令侵权人立即停止进口行为；侵权产品已经入境的，不得销售、使用该侵权产品或者以任何其他形式将其投放市场；侵权产品难以保存的，责令侵权人销毁该产品；侵权产品尚未入境的，可以将处理决定通知有关海关；</w:t>
      </w:r>
    </w:p>
    <w:p>
      <w:pPr>
        <w:ind w:firstLine="640" w:firstLineChars="200"/>
        <w:rPr>
          <w:rFonts w:hint="eastAsia" w:ascii="华文仿宋" w:hAnsi="华文仿宋" w:eastAsia="华文仿宋" w:cs="华文仿宋"/>
          <w:sz w:val="32"/>
          <w:szCs w:val="32"/>
        </w:rPr>
      </w:pPr>
      <w:r>
        <w:rPr>
          <w:rFonts w:hint="eastAsia" w:ascii="华文仿宋" w:hAnsi="华文仿宋" w:eastAsia="华文仿宋" w:cs="华文仿宋"/>
          <w:sz w:val="32"/>
          <w:szCs w:val="32"/>
        </w:rPr>
        <w:t>（六）责令侵权的参展方采取从展会上撤出侵权展品、销毁或者封存相应的宣传材料、更换或遮盖相应的展板等撤展措施；</w:t>
      </w:r>
    </w:p>
    <w:p>
      <w:pPr>
        <w:ind w:firstLine="640" w:firstLineChars="200"/>
        <w:rPr>
          <w:rFonts w:hint="eastAsia" w:ascii="华文仿宋" w:hAnsi="华文仿宋" w:eastAsia="华文仿宋" w:cs="华文仿宋"/>
          <w:sz w:val="32"/>
          <w:szCs w:val="32"/>
        </w:rPr>
        <w:sectPr>
          <w:footerReference r:id="rId3" w:type="default"/>
          <w:pgSz w:w="11906" w:h="16838"/>
          <w:pgMar w:top="1440" w:right="1800" w:bottom="1440" w:left="1800" w:header="851" w:footer="992" w:gutter="0"/>
          <w:pgNumType w:fmt="decimal"/>
          <w:cols w:space="425" w:num="1"/>
          <w:docGrid w:type="lines" w:linePitch="312" w:charSpace="0"/>
        </w:sectPr>
      </w:pPr>
      <w:r>
        <w:rPr>
          <w:rFonts w:hint="eastAsia" w:ascii="华文仿宋" w:hAnsi="华文仿宋" w:eastAsia="华文仿宋" w:cs="华文仿宋"/>
          <w:sz w:val="32"/>
          <w:szCs w:val="32"/>
        </w:rPr>
        <w:t>（七）停止侵权行为的其他必要措施。管理专利工作的部门认定电子商务平台上的专利侵权行为成立，作出处理决定的，应当通知电子商务平台提供者及时对专利侵权产品或者依照专利方法直接获得的侵权产品相关网页采取删除、屏蔽或者断开链接等措施。</w:t>
      </w:r>
    </w:p>
    <w:p>
      <w:pPr>
        <w:ind w:firstLine="640" w:firstLineChars="200"/>
        <w:rPr>
          <w:rFonts w:hint="eastAsia" w:ascii="华文仿宋" w:hAnsi="华文仿宋" w:eastAsia="华文仿宋" w:cs="华文仿宋"/>
          <w:sz w:val="32"/>
          <w:szCs w:val="32"/>
        </w:rPr>
      </w:pPr>
    </w:p>
    <w:sectPr>
      <w:type w:val="continuous"/>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7</w:t>
                    </w:r>
                    <w:r>
                      <w:fldChar w:fldCharType="end"/>
                    </w:r>
                    <w:r>
                      <w:t xml:space="preserve"> 页</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A754A1"/>
    <w:rsid w:val="00A4168D"/>
    <w:rsid w:val="03095FA4"/>
    <w:rsid w:val="04B25724"/>
    <w:rsid w:val="06202E80"/>
    <w:rsid w:val="075F26C1"/>
    <w:rsid w:val="07C254CD"/>
    <w:rsid w:val="07F767BA"/>
    <w:rsid w:val="085E3C58"/>
    <w:rsid w:val="09B66422"/>
    <w:rsid w:val="09DE131B"/>
    <w:rsid w:val="0A015462"/>
    <w:rsid w:val="0ADC14ED"/>
    <w:rsid w:val="0AF7548F"/>
    <w:rsid w:val="0B5F6B29"/>
    <w:rsid w:val="0B790B20"/>
    <w:rsid w:val="0C885FC3"/>
    <w:rsid w:val="0D0C6095"/>
    <w:rsid w:val="1184698E"/>
    <w:rsid w:val="11AF0604"/>
    <w:rsid w:val="152C4024"/>
    <w:rsid w:val="158E7297"/>
    <w:rsid w:val="16A66965"/>
    <w:rsid w:val="18827C51"/>
    <w:rsid w:val="1B2E5898"/>
    <w:rsid w:val="1CCE250C"/>
    <w:rsid w:val="1CF5270C"/>
    <w:rsid w:val="1E6F28CC"/>
    <w:rsid w:val="1F355035"/>
    <w:rsid w:val="1FEF3EE1"/>
    <w:rsid w:val="20CB38B4"/>
    <w:rsid w:val="217467FD"/>
    <w:rsid w:val="230040D2"/>
    <w:rsid w:val="23DD71F6"/>
    <w:rsid w:val="2475441E"/>
    <w:rsid w:val="2490426B"/>
    <w:rsid w:val="272F0D77"/>
    <w:rsid w:val="274D292F"/>
    <w:rsid w:val="2B585503"/>
    <w:rsid w:val="2BA87D38"/>
    <w:rsid w:val="2D4F6685"/>
    <w:rsid w:val="2D5F49EC"/>
    <w:rsid w:val="2E841CA9"/>
    <w:rsid w:val="2F382010"/>
    <w:rsid w:val="31E04532"/>
    <w:rsid w:val="32B50D76"/>
    <w:rsid w:val="333A4686"/>
    <w:rsid w:val="3659267C"/>
    <w:rsid w:val="36D33D5B"/>
    <w:rsid w:val="37345C90"/>
    <w:rsid w:val="37CE346A"/>
    <w:rsid w:val="38F01221"/>
    <w:rsid w:val="39A75AD0"/>
    <w:rsid w:val="3A993127"/>
    <w:rsid w:val="3AF81A54"/>
    <w:rsid w:val="3BA77312"/>
    <w:rsid w:val="3BFD6910"/>
    <w:rsid w:val="3CE32B80"/>
    <w:rsid w:val="3CE37ADE"/>
    <w:rsid w:val="3D166B23"/>
    <w:rsid w:val="3E441C2E"/>
    <w:rsid w:val="3EB30040"/>
    <w:rsid w:val="3EC62652"/>
    <w:rsid w:val="3EC77406"/>
    <w:rsid w:val="40127181"/>
    <w:rsid w:val="410214DA"/>
    <w:rsid w:val="41EC7D7B"/>
    <w:rsid w:val="423C335B"/>
    <w:rsid w:val="42D85ABC"/>
    <w:rsid w:val="43A44498"/>
    <w:rsid w:val="44B42379"/>
    <w:rsid w:val="45B00309"/>
    <w:rsid w:val="47BD7906"/>
    <w:rsid w:val="480B558D"/>
    <w:rsid w:val="486A669C"/>
    <w:rsid w:val="497A169C"/>
    <w:rsid w:val="4AC75A1F"/>
    <w:rsid w:val="4B8A1606"/>
    <w:rsid w:val="4BD571FE"/>
    <w:rsid w:val="4C775F54"/>
    <w:rsid w:val="4C9F35AA"/>
    <w:rsid w:val="4CA44C5E"/>
    <w:rsid w:val="4D33668B"/>
    <w:rsid w:val="4F7B604C"/>
    <w:rsid w:val="4F9B202B"/>
    <w:rsid w:val="51100A30"/>
    <w:rsid w:val="54A754A1"/>
    <w:rsid w:val="551D1000"/>
    <w:rsid w:val="569C753A"/>
    <w:rsid w:val="586B579E"/>
    <w:rsid w:val="59D163CA"/>
    <w:rsid w:val="5B510165"/>
    <w:rsid w:val="5CFBDADB"/>
    <w:rsid w:val="5DC676F8"/>
    <w:rsid w:val="5DE945D6"/>
    <w:rsid w:val="5F1A17CC"/>
    <w:rsid w:val="5FA320FD"/>
    <w:rsid w:val="614917BE"/>
    <w:rsid w:val="62224762"/>
    <w:rsid w:val="6264142D"/>
    <w:rsid w:val="64204B34"/>
    <w:rsid w:val="64893DC5"/>
    <w:rsid w:val="64AA5A3C"/>
    <w:rsid w:val="654B153D"/>
    <w:rsid w:val="65FA03A9"/>
    <w:rsid w:val="6639207E"/>
    <w:rsid w:val="66997988"/>
    <w:rsid w:val="669C1292"/>
    <w:rsid w:val="69AB2A58"/>
    <w:rsid w:val="6A3660AE"/>
    <w:rsid w:val="6A59735A"/>
    <w:rsid w:val="6A966C8A"/>
    <w:rsid w:val="6BBA1BDA"/>
    <w:rsid w:val="6C0D30A2"/>
    <w:rsid w:val="6D351B25"/>
    <w:rsid w:val="6E5204D7"/>
    <w:rsid w:val="6F306A5A"/>
    <w:rsid w:val="70A352DA"/>
    <w:rsid w:val="70EB542C"/>
    <w:rsid w:val="722A4D76"/>
    <w:rsid w:val="74390F52"/>
    <w:rsid w:val="74634C84"/>
    <w:rsid w:val="75A52D36"/>
    <w:rsid w:val="766475AD"/>
    <w:rsid w:val="76E01DD4"/>
    <w:rsid w:val="770933B4"/>
    <w:rsid w:val="773D4F4E"/>
    <w:rsid w:val="775056CC"/>
    <w:rsid w:val="77A21137"/>
    <w:rsid w:val="7A28166F"/>
    <w:rsid w:val="7C535A1B"/>
    <w:rsid w:val="7CCB61B7"/>
    <w:rsid w:val="7D222835"/>
    <w:rsid w:val="7D9947FA"/>
    <w:rsid w:val="7EFBFC56"/>
    <w:rsid w:val="7F2B4A6D"/>
    <w:rsid w:val="7F3F047E"/>
    <w:rsid w:val="9FCDD841"/>
    <w:rsid w:val="A74EC65B"/>
    <w:rsid w:val="BA7B23C6"/>
    <w:rsid w:val="BAFEBFD7"/>
    <w:rsid w:val="BFAE1745"/>
    <w:rsid w:val="E76F6049"/>
    <w:rsid w:val="E9BF5F45"/>
    <w:rsid w:val="EF7FF55F"/>
    <w:rsid w:val="FEFE79FC"/>
    <w:rsid w:val="FFFF56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2828</Words>
  <Characters>2996</Characters>
  <Lines>0</Lines>
  <Paragraphs>0</Paragraphs>
  <TotalTime>58</TotalTime>
  <ScaleCrop>false</ScaleCrop>
  <LinksUpToDate>false</LinksUpToDate>
  <CharactersWithSpaces>3076</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2023-06-06T17:44:00Z</dcterms:created>
  <dc:creator>幻云秋风</dc:creator>
  <cp:lastModifiedBy>幻云秋风</cp:lastModifiedBy>
  <cp:lastPrinted>2023-08-21T07:10:00Z</cp:lastPrinted>
  <dcterms:modified xsi:type="dcterms:W3CDTF">2023-08-31T08:28:49Z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0818EC0BE4C346659A95C0F82C58748E</vt:lpwstr>
  </property>
</Properties>
</file>