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kern w:val="0"/>
          <w:sz w:val="44"/>
          <w:szCs w:val="44"/>
        </w:rPr>
      </w:pPr>
      <w:r>
        <w:rPr>
          <w:rFonts w:hint="eastAsia" w:ascii="方正小标宋简体" w:hAnsi="方正小标宋简体" w:eastAsia="方正小标宋简体" w:cs="方正小标宋简体"/>
          <w:color w:val="000000"/>
          <w:kern w:val="0"/>
          <w:sz w:val="44"/>
          <w:szCs w:val="44"/>
        </w:rPr>
        <w:t>2021年宁波市慈溪市人民政府坎墩街道办</w:t>
      </w:r>
      <w:bookmarkStart w:id="0" w:name="_GoBack"/>
      <w:r>
        <w:rPr>
          <w:rFonts w:hint="eastAsia" w:ascii="方正小标宋简体" w:hAnsi="方正小标宋简体" w:eastAsia="方正小标宋简体" w:cs="方正小标宋简体"/>
          <w:color w:val="000000"/>
          <w:kern w:val="0"/>
          <w:sz w:val="44"/>
          <w:szCs w:val="44"/>
        </w:rPr>
        <w:t>事处信息公开年报</w:t>
      </w:r>
    </w:p>
    <w:bookmarkEnd w:id="0"/>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kern w:val="0"/>
          <w:sz w:val="44"/>
          <w:szCs w:val="44"/>
        </w:rPr>
      </w:pPr>
    </w:p>
    <w:p>
      <w:pPr>
        <w:keepNext w:val="0"/>
        <w:keepLines w:val="0"/>
        <w:pageBreakBefore w:val="0"/>
        <w:widowControl/>
        <w:kinsoku/>
        <w:wordWrap/>
        <w:overflowPunct/>
        <w:topLinePunct w:val="0"/>
        <w:autoSpaceDE/>
        <w:autoSpaceDN/>
        <w:bidi w:val="0"/>
        <w:adjustRightInd/>
        <w:snapToGrid/>
        <w:spacing w:line="560" w:lineRule="exact"/>
        <w:ind w:firstLine="480"/>
        <w:jc w:val="left"/>
        <w:textAlignment w:val="auto"/>
        <w:rPr>
          <w:rFonts w:ascii="黑体" w:hAnsi="黑体" w:eastAsia="黑体" w:cs="黑体"/>
          <w:b/>
          <w:color w:val="3D3D3D"/>
          <w:kern w:val="0"/>
          <w:sz w:val="32"/>
          <w:szCs w:val="32"/>
        </w:rPr>
      </w:pPr>
      <w:r>
        <w:rPr>
          <w:rFonts w:hint="eastAsia" w:ascii="黑体" w:hAnsi="黑体" w:eastAsia="黑体" w:cs="黑体"/>
          <w:b/>
          <w:color w:val="3D3D3D"/>
          <w:kern w:val="0"/>
          <w:sz w:val="32"/>
          <w:szCs w:val="32"/>
        </w:rPr>
        <w:t>一、总体情况</w:t>
      </w:r>
    </w:p>
    <w:p>
      <w:pPr>
        <w:keepNext w:val="0"/>
        <w:keepLines w:val="0"/>
        <w:pageBreakBefore w:val="0"/>
        <w:widowControl/>
        <w:kinsoku/>
        <w:wordWrap/>
        <w:overflowPunct/>
        <w:topLinePunct w:val="0"/>
        <w:autoSpaceDE/>
        <w:autoSpaceDN/>
        <w:bidi w:val="0"/>
        <w:adjustRightInd/>
        <w:snapToGrid/>
        <w:spacing w:line="560" w:lineRule="exact"/>
        <w:ind w:firstLine="480"/>
        <w:jc w:val="left"/>
        <w:textAlignment w:val="auto"/>
        <w:rPr>
          <w:rFonts w:ascii="仿宋_GB2312" w:hAnsi="仿宋_GB2312" w:eastAsia="仿宋_GB2312" w:cs="仿宋_GB2312"/>
          <w:color w:val="3D3D3D"/>
          <w:kern w:val="0"/>
          <w:sz w:val="32"/>
          <w:szCs w:val="32"/>
        </w:rPr>
      </w:pPr>
      <w:r>
        <w:rPr>
          <w:rFonts w:hint="eastAsia" w:ascii="仿宋_GB2312" w:hAnsi="仿宋_GB2312" w:eastAsia="仿宋_GB2312" w:cs="仿宋_GB2312"/>
          <w:color w:val="3D3D3D"/>
          <w:kern w:val="0"/>
          <w:sz w:val="32"/>
          <w:szCs w:val="32"/>
        </w:rPr>
        <w:t>2021年，坎墩街道办事处</w:t>
      </w:r>
      <w:r>
        <w:rPr>
          <w:rFonts w:hint="eastAsia" w:ascii="仿宋_GB2312" w:hAnsi="仿宋_GB2312" w:eastAsia="仿宋_GB2312" w:cs="仿宋_GB2312"/>
          <w:color w:val="3D3D3D"/>
          <w:kern w:val="0"/>
          <w:sz w:val="32"/>
          <w:szCs w:val="32"/>
          <w:lang w:eastAsia="zh-CN"/>
        </w:rPr>
        <w:t>根据</w:t>
      </w:r>
      <w:r>
        <w:rPr>
          <w:rFonts w:hint="eastAsia" w:ascii="仿宋_GB2312" w:hAnsi="仿宋_GB2312" w:eastAsia="仿宋_GB2312" w:cs="仿宋_GB2312"/>
          <w:color w:val="3D3D3D"/>
          <w:kern w:val="0"/>
          <w:sz w:val="32"/>
          <w:szCs w:val="32"/>
        </w:rPr>
        <w:t>《中华人民共和国政府信息公开条例》、《浙江省政府信息公开暂行办法》、《2021年慈溪市政务公开工作要点》（慈政办发〔2021〕39号）</w:t>
      </w:r>
      <w:r>
        <w:rPr>
          <w:rFonts w:hint="eastAsia" w:ascii="仿宋_GB2312" w:hAnsi="仿宋_GB2312" w:eastAsia="仿宋_GB2312" w:cs="仿宋_GB2312"/>
          <w:color w:val="3D3D3D"/>
          <w:kern w:val="0"/>
          <w:sz w:val="32"/>
          <w:szCs w:val="32"/>
          <w:lang w:eastAsia="zh-CN"/>
        </w:rPr>
        <w:t>等各类</w:t>
      </w:r>
      <w:r>
        <w:rPr>
          <w:rFonts w:hint="eastAsia" w:ascii="仿宋_GB2312" w:hAnsi="仿宋_GB2312" w:eastAsia="仿宋_GB2312" w:cs="仿宋_GB2312"/>
          <w:color w:val="3D3D3D"/>
          <w:kern w:val="0"/>
          <w:sz w:val="32"/>
          <w:szCs w:val="32"/>
        </w:rPr>
        <w:t>有关信息公开文件精神</w:t>
      </w:r>
      <w:r>
        <w:rPr>
          <w:rFonts w:hint="eastAsia" w:ascii="仿宋_GB2312" w:hAnsi="仿宋_GB2312" w:eastAsia="仿宋_GB2312" w:cs="仿宋_GB2312"/>
          <w:color w:val="3D3D3D"/>
          <w:kern w:val="0"/>
          <w:sz w:val="32"/>
          <w:szCs w:val="32"/>
        </w:rPr>
        <w:t>，</w:t>
      </w:r>
      <w:r>
        <w:rPr>
          <w:rFonts w:hint="eastAsia" w:ascii="仿宋_GB2312" w:hAnsi="仿宋_GB2312" w:eastAsia="仿宋_GB2312" w:cs="仿宋_GB2312"/>
          <w:color w:val="3D3D3D"/>
          <w:kern w:val="0"/>
          <w:sz w:val="32"/>
          <w:szCs w:val="32"/>
          <w:lang w:eastAsia="zh-CN"/>
        </w:rPr>
        <w:t>健全</w:t>
      </w:r>
      <w:r>
        <w:rPr>
          <w:rFonts w:hint="eastAsia" w:ascii="仿宋_GB2312" w:hAnsi="仿宋_GB2312" w:eastAsia="仿宋_GB2312" w:cs="仿宋_GB2312"/>
          <w:color w:val="3D3D3D"/>
          <w:kern w:val="0"/>
          <w:sz w:val="32"/>
          <w:szCs w:val="32"/>
        </w:rPr>
        <w:t>政府公开机制</w:t>
      </w:r>
      <w:r>
        <w:rPr>
          <w:rFonts w:hint="eastAsia" w:ascii="仿宋_GB2312" w:hAnsi="仿宋_GB2312" w:eastAsia="仿宋_GB2312" w:cs="仿宋_GB2312"/>
          <w:color w:val="3D3D3D"/>
          <w:kern w:val="0"/>
          <w:sz w:val="32"/>
          <w:szCs w:val="32"/>
          <w:lang w:eastAsia="zh-CN"/>
        </w:rPr>
        <w:t>，</w:t>
      </w:r>
      <w:r>
        <w:rPr>
          <w:rFonts w:hint="eastAsia" w:ascii="仿宋_GB2312" w:hAnsi="仿宋_GB2312" w:eastAsia="仿宋_GB2312" w:cs="仿宋_GB2312"/>
          <w:color w:val="3D3D3D"/>
          <w:kern w:val="0"/>
          <w:sz w:val="32"/>
          <w:szCs w:val="32"/>
        </w:rPr>
        <w:t>完善政府信息公开制度</w:t>
      </w:r>
      <w:r>
        <w:rPr>
          <w:rFonts w:hint="eastAsia" w:ascii="仿宋_GB2312" w:hAnsi="仿宋_GB2312" w:eastAsia="仿宋_GB2312" w:cs="仿宋_GB2312"/>
          <w:color w:val="3D3D3D"/>
          <w:kern w:val="0"/>
          <w:sz w:val="32"/>
          <w:szCs w:val="32"/>
          <w:lang w:eastAsia="zh-CN"/>
        </w:rPr>
        <w:t>，</w:t>
      </w:r>
      <w:r>
        <w:rPr>
          <w:rFonts w:hint="eastAsia" w:ascii="仿宋_GB2312" w:hAnsi="仿宋_GB2312" w:eastAsia="仿宋_GB2312" w:cs="仿宋_GB2312"/>
          <w:color w:val="3D3D3D"/>
          <w:kern w:val="0"/>
          <w:sz w:val="32"/>
          <w:szCs w:val="32"/>
        </w:rPr>
        <w:t>梳理规范信息公开目录和指南</w:t>
      </w:r>
      <w:r>
        <w:rPr>
          <w:rFonts w:hint="eastAsia" w:ascii="仿宋_GB2312" w:hAnsi="仿宋_GB2312" w:eastAsia="仿宋_GB2312" w:cs="仿宋_GB2312"/>
          <w:color w:val="3D3D3D"/>
          <w:kern w:val="0"/>
          <w:sz w:val="32"/>
          <w:szCs w:val="32"/>
          <w:lang w:eastAsia="zh-CN"/>
        </w:rPr>
        <w:t>，扎实推进政府信息公开工作</w:t>
      </w:r>
      <w:r>
        <w:rPr>
          <w:rFonts w:hint="eastAsia" w:ascii="仿宋_GB2312" w:hAnsi="仿宋_GB2312" w:eastAsia="仿宋_GB2312" w:cs="仿宋_GB2312"/>
          <w:color w:val="3D3D3D"/>
          <w:kern w:val="0"/>
          <w:sz w:val="32"/>
          <w:szCs w:val="32"/>
        </w:rPr>
        <w:t>。</w:t>
      </w:r>
    </w:p>
    <w:p>
      <w:pPr>
        <w:keepNext w:val="0"/>
        <w:keepLines w:val="0"/>
        <w:pageBreakBefore w:val="0"/>
        <w:widowControl/>
        <w:kinsoku/>
        <w:wordWrap/>
        <w:overflowPunct/>
        <w:topLinePunct w:val="0"/>
        <w:autoSpaceDE/>
        <w:autoSpaceDN/>
        <w:bidi w:val="0"/>
        <w:adjustRightInd/>
        <w:snapToGrid/>
        <w:spacing w:line="560" w:lineRule="exact"/>
        <w:ind w:firstLine="480"/>
        <w:jc w:val="left"/>
        <w:textAlignment w:val="auto"/>
        <w:rPr>
          <w:rFonts w:ascii="仿宋_GB2312" w:hAnsi="仿宋_GB2312" w:eastAsia="仿宋_GB2312" w:cs="仿宋_GB2312"/>
          <w:color w:val="3D3D3D"/>
          <w:kern w:val="0"/>
          <w:sz w:val="32"/>
          <w:szCs w:val="32"/>
        </w:rPr>
      </w:pPr>
      <w:r>
        <w:rPr>
          <w:rFonts w:hint="eastAsia" w:ascii="楷体_GB2312" w:hAnsi="楷体_GB2312" w:eastAsia="楷体_GB2312" w:cs="楷体_GB2312"/>
          <w:b/>
          <w:color w:val="3D3D3D"/>
          <w:kern w:val="0"/>
          <w:sz w:val="32"/>
          <w:szCs w:val="32"/>
        </w:rPr>
        <w:t>（一）主动公开情况。</w:t>
      </w:r>
      <w:r>
        <w:rPr>
          <w:rFonts w:hint="eastAsia" w:ascii="仿宋_GB2312" w:hAnsi="仿宋_GB2312" w:eastAsia="仿宋_GB2312" w:cs="仿宋_GB2312"/>
          <w:color w:val="3D3D3D"/>
          <w:kern w:val="0"/>
          <w:sz w:val="32"/>
          <w:szCs w:val="32"/>
        </w:rPr>
        <w:t>大力推进决策、执行、管理、服务、结果“五公开”。深入推进工作动态、文件法规、总结报告、社会救助等各个领域信息公开工作。2021年，街道通过政府门户网站、“坎墩十里长街”、“坎墩发布”等途径，共公开各类政府信息729条。</w:t>
      </w:r>
    </w:p>
    <w:p>
      <w:pPr>
        <w:keepNext w:val="0"/>
        <w:keepLines w:val="0"/>
        <w:pageBreakBefore w:val="0"/>
        <w:widowControl/>
        <w:kinsoku/>
        <w:wordWrap/>
        <w:overflowPunct/>
        <w:topLinePunct w:val="0"/>
        <w:autoSpaceDE/>
        <w:autoSpaceDN/>
        <w:bidi w:val="0"/>
        <w:adjustRightInd/>
        <w:snapToGrid/>
        <w:spacing w:line="560" w:lineRule="exact"/>
        <w:ind w:firstLine="480"/>
        <w:jc w:val="left"/>
        <w:textAlignment w:val="auto"/>
        <w:rPr>
          <w:rFonts w:ascii="仿宋_GB2312" w:hAnsi="仿宋_GB2312" w:eastAsia="仿宋_GB2312" w:cs="仿宋_GB2312"/>
          <w:color w:val="3D3D3D"/>
          <w:kern w:val="0"/>
          <w:sz w:val="32"/>
          <w:szCs w:val="32"/>
        </w:rPr>
      </w:pPr>
      <w:r>
        <w:rPr>
          <w:rFonts w:hint="eastAsia" w:ascii="楷体_GB2312" w:hAnsi="楷体_GB2312" w:eastAsia="楷体_GB2312" w:cs="楷体_GB2312"/>
          <w:b/>
          <w:color w:val="3D3D3D"/>
          <w:kern w:val="0"/>
          <w:sz w:val="32"/>
          <w:szCs w:val="32"/>
        </w:rPr>
        <w:t>（二）依申请公开情况。</w:t>
      </w:r>
      <w:r>
        <w:rPr>
          <w:rFonts w:hint="eastAsia" w:ascii="仿宋_GB2312" w:hAnsi="仿宋_GB2312" w:eastAsia="仿宋_GB2312" w:cs="仿宋_GB2312"/>
          <w:color w:val="3D3D3D"/>
          <w:kern w:val="0"/>
          <w:sz w:val="32"/>
          <w:szCs w:val="32"/>
        </w:rPr>
        <w:t>严格按照依申请公开工作要求，完善依申请公开办理机制，并在公开指南中明确依申请公开的相关流程说明、受理部门、联系方式和文书格式模板，规范落实依申请公开。2021年，坎墩街道办事处共办结政府信息依申请公开件1件，完成率100%。</w:t>
      </w:r>
    </w:p>
    <w:p>
      <w:pPr>
        <w:keepNext w:val="0"/>
        <w:keepLines w:val="0"/>
        <w:pageBreakBefore w:val="0"/>
        <w:widowControl/>
        <w:kinsoku/>
        <w:wordWrap/>
        <w:overflowPunct/>
        <w:topLinePunct w:val="0"/>
        <w:autoSpaceDE/>
        <w:autoSpaceDN/>
        <w:bidi w:val="0"/>
        <w:adjustRightInd/>
        <w:snapToGrid/>
        <w:spacing w:line="560" w:lineRule="exact"/>
        <w:ind w:firstLine="480"/>
        <w:jc w:val="left"/>
        <w:textAlignment w:val="auto"/>
        <w:rPr>
          <w:rFonts w:ascii="仿宋_GB2312" w:hAnsi="仿宋_GB2312" w:eastAsia="仿宋_GB2312" w:cs="仿宋_GB2312"/>
          <w:color w:val="3D3D3D"/>
          <w:kern w:val="0"/>
          <w:sz w:val="32"/>
          <w:szCs w:val="32"/>
        </w:rPr>
      </w:pPr>
      <w:r>
        <w:rPr>
          <w:rFonts w:hint="eastAsia" w:ascii="楷体_GB2312" w:hAnsi="楷体_GB2312" w:eastAsia="楷体_GB2312" w:cs="楷体_GB2312"/>
          <w:b/>
          <w:color w:val="3D3D3D"/>
          <w:kern w:val="0"/>
          <w:sz w:val="32"/>
          <w:szCs w:val="32"/>
        </w:rPr>
        <w:t>（三）政府信息管理情况。</w:t>
      </w:r>
      <w:r>
        <w:rPr>
          <w:rFonts w:hint="eastAsia" w:ascii="仿宋_GB2312" w:hAnsi="仿宋_GB2312" w:eastAsia="仿宋_GB2312" w:cs="仿宋_GB2312"/>
          <w:color w:val="3D3D3D"/>
          <w:kern w:val="0"/>
          <w:sz w:val="32"/>
          <w:szCs w:val="32"/>
        </w:rPr>
        <w:t>完善政府信息主动公开目录体系，加强政府信息归集管理。认真落实政府信息公开长效运维管理工作，加强政府信息发布审核，对相关政府信息及时进行动态更新。及时公开机构职责、领导信息、机构概况、政府信息公开指南等。加强对政府网站和浙江政务服务网上已发布信息的日常监测和排查。</w:t>
      </w:r>
    </w:p>
    <w:p>
      <w:pPr>
        <w:keepNext w:val="0"/>
        <w:keepLines w:val="0"/>
        <w:pageBreakBefore w:val="0"/>
        <w:widowControl/>
        <w:kinsoku/>
        <w:wordWrap/>
        <w:overflowPunct/>
        <w:topLinePunct w:val="0"/>
        <w:autoSpaceDE/>
        <w:autoSpaceDN/>
        <w:bidi w:val="0"/>
        <w:adjustRightInd/>
        <w:snapToGrid/>
        <w:spacing w:line="560" w:lineRule="exact"/>
        <w:ind w:firstLine="480"/>
        <w:jc w:val="left"/>
        <w:textAlignment w:val="auto"/>
        <w:rPr>
          <w:rFonts w:ascii="仿宋_GB2312" w:hAnsi="仿宋_GB2312" w:eastAsia="仿宋_GB2312" w:cs="仿宋_GB2312"/>
          <w:color w:val="3D3D3D"/>
          <w:kern w:val="0"/>
          <w:sz w:val="32"/>
          <w:szCs w:val="32"/>
        </w:rPr>
      </w:pPr>
      <w:r>
        <w:rPr>
          <w:rFonts w:hint="eastAsia" w:ascii="楷体_GB2312" w:hAnsi="楷体_GB2312" w:eastAsia="楷体_GB2312" w:cs="楷体_GB2312"/>
          <w:b/>
          <w:color w:val="3D3D3D"/>
          <w:kern w:val="0"/>
          <w:sz w:val="32"/>
          <w:szCs w:val="32"/>
        </w:rPr>
        <w:t>（四）平台建设情况。</w:t>
      </w:r>
      <w:r>
        <w:rPr>
          <w:rFonts w:hint="eastAsia" w:ascii="仿宋_GB2312" w:hAnsi="仿宋_GB2312" w:eastAsia="仿宋_GB2312" w:cs="仿宋_GB2312"/>
          <w:color w:val="3D3D3D"/>
          <w:kern w:val="0"/>
          <w:sz w:val="32"/>
          <w:szCs w:val="32"/>
        </w:rPr>
        <w:t>积极优化完善政府网站、政务新媒体、政府信息查阅点等政务公开平台和渠道。对慈溪政务网站上坎墩栏目的公开目录进行了更新，对“坎墩十里长街”等政务公众号进行了完善。</w:t>
      </w:r>
    </w:p>
    <w:p>
      <w:pPr>
        <w:keepNext w:val="0"/>
        <w:keepLines w:val="0"/>
        <w:pageBreakBefore w:val="0"/>
        <w:widowControl/>
        <w:kinsoku/>
        <w:wordWrap/>
        <w:overflowPunct/>
        <w:topLinePunct w:val="0"/>
        <w:autoSpaceDE/>
        <w:autoSpaceDN/>
        <w:bidi w:val="0"/>
        <w:adjustRightInd/>
        <w:snapToGrid/>
        <w:spacing w:line="560" w:lineRule="exact"/>
        <w:ind w:firstLine="480"/>
        <w:jc w:val="left"/>
        <w:textAlignment w:val="auto"/>
        <w:rPr>
          <w:rFonts w:ascii="仿宋_GB2312" w:hAnsi="仿宋_GB2312" w:eastAsia="仿宋_GB2312" w:cs="仿宋_GB2312"/>
          <w:color w:val="3D3D3D"/>
          <w:kern w:val="0"/>
          <w:sz w:val="30"/>
          <w:szCs w:val="30"/>
        </w:rPr>
      </w:pPr>
      <w:r>
        <w:rPr>
          <w:rFonts w:hint="eastAsia" w:ascii="楷体_GB2312" w:hAnsi="楷体_GB2312" w:eastAsia="楷体_GB2312" w:cs="楷体_GB2312"/>
          <w:b/>
          <w:color w:val="3D3D3D"/>
          <w:kern w:val="0"/>
          <w:sz w:val="32"/>
          <w:szCs w:val="32"/>
        </w:rPr>
        <w:t>（五）监督保障情况。</w:t>
      </w:r>
      <w:r>
        <w:rPr>
          <w:rFonts w:hint="eastAsia" w:ascii="仿宋_GB2312" w:hAnsi="仿宋_GB2312" w:eastAsia="仿宋_GB2312" w:cs="仿宋_GB2312"/>
          <w:color w:val="3D3D3D"/>
          <w:kern w:val="0"/>
          <w:sz w:val="32"/>
          <w:szCs w:val="32"/>
        </w:rPr>
        <w:t>积极参加全市统一的政务公开社会评议并定期按规定发布责任追究情况，提升对信息公开队伍的教育培训和管理，确保信息公开业务质量。组织办公室成员学习《重大行政决策程序暂行条例》《中华人民共和国政府信息公开条例》《优化营商环境条例》等与政务公开工作密切相关的行政法规。年底，在第三方机构测评的基础上，对政务公开内容进行了及时的更正和完善。</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hint="eastAsia" w:ascii="黑体" w:hAnsi="黑体" w:eastAsia="黑体" w:cs="黑体"/>
          <w:b/>
          <w:color w:val="3D3D3D"/>
          <w:kern w:val="0"/>
          <w:sz w:val="32"/>
          <w:szCs w:val="32"/>
        </w:rPr>
      </w:pPr>
      <w:r>
        <w:rPr>
          <w:rFonts w:hint="eastAsia" w:ascii="黑体" w:hAnsi="黑体" w:eastAsia="黑体" w:cs="黑体"/>
          <w:b/>
          <w:color w:val="3D3D3D"/>
          <w:kern w:val="0"/>
          <w:sz w:val="32"/>
          <w:szCs w:val="32"/>
        </w:rPr>
        <w:t>二、主动公开政府信息情况</w:t>
      </w:r>
    </w:p>
    <w:tbl>
      <w:tblPr>
        <w:tblStyle w:val="4"/>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cs="Times New Roman"/>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20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cs="Times New Roman"/>
                <w:sz w:val="24"/>
                <w:szCs w:val="24"/>
              </w:rPr>
            </w:pPr>
            <w:r>
              <w:rPr>
                <w:rFonts w:hint="eastAsia" w:ascii="黑体" w:hAnsi="黑体" w:eastAsia="黑体" w:cs="黑体"/>
                <w:sz w:val="24"/>
                <w:szCs w:val="24"/>
              </w:rPr>
              <w:t>信息内容</w:t>
            </w:r>
          </w:p>
        </w:tc>
        <w:tc>
          <w:tcPr>
            <w:tcW w:w="2588"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Times New Roman"/>
                <w:sz w:val="24"/>
                <w:szCs w:val="24"/>
                <w:lang w:eastAsia="zh-CN"/>
              </w:rPr>
            </w:pPr>
            <w:r>
              <w:rPr>
                <w:rFonts w:hint="eastAsia" w:ascii="黑体" w:hAnsi="黑体" w:eastAsia="黑体" w:cs="黑体"/>
                <w:sz w:val="24"/>
                <w:szCs w:val="24"/>
              </w:rPr>
              <w:t>本年</w:t>
            </w:r>
            <w:r>
              <w:rPr>
                <w:rFonts w:hint="eastAsia" w:ascii="黑体" w:hAnsi="黑体" w:eastAsia="黑体" w:cs="黑体"/>
                <w:sz w:val="24"/>
                <w:szCs w:val="24"/>
                <w:lang w:eastAsia="zh-CN"/>
              </w:rPr>
              <w:t>制发件数</w:t>
            </w:r>
          </w:p>
        </w:tc>
        <w:tc>
          <w:tcPr>
            <w:tcW w:w="225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Times New Roman"/>
                <w:sz w:val="24"/>
                <w:szCs w:val="24"/>
                <w:lang w:eastAsia="zh-CN"/>
              </w:rPr>
            </w:pPr>
            <w:r>
              <w:rPr>
                <w:rFonts w:hint="eastAsia" w:ascii="黑体" w:hAnsi="黑体" w:eastAsia="黑体" w:cs="黑体"/>
                <w:sz w:val="24"/>
                <w:szCs w:val="24"/>
              </w:rPr>
              <w:t>本年</w:t>
            </w:r>
            <w:r>
              <w:rPr>
                <w:rFonts w:hint="eastAsia" w:ascii="黑体" w:hAnsi="黑体" w:eastAsia="黑体" w:cs="黑体"/>
                <w:sz w:val="24"/>
                <w:szCs w:val="24"/>
                <w:lang w:eastAsia="zh-CN"/>
              </w:rPr>
              <w:t>废止件数</w:t>
            </w:r>
          </w:p>
        </w:tc>
        <w:tc>
          <w:tcPr>
            <w:tcW w:w="198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Times New Roman"/>
                <w:sz w:val="24"/>
                <w:szCs w:val="24"/>
                <w:lang w:eastAsia="zh-CN"/>
              </w:rPr>
            </w:pPr>
            <w:r>
              <w:rPr>
                <w:rFonts w:hint="eastAsia" w:ascii="黑体" w:hAnsi="黑体" w:eastAsia="黑体" w:cs="黑体"/>
                <w:sz w:val="24"/>
                <w:szCs w:val="24"/>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仿宋_GB2312"/>
                <w:sz w:val="24"/>
                <w:szCs w:val="24"/>
              </w:rPr>
              <w:t>规章</w:t>
            </w:r>
          </w:p>
        </w:tc>
        <w:tc>
          <w:tcPr>
            <w:tcW w:w="2588"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225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198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仿宋_GB2312"/>
                <w:sz w:val="24"/>
                <w:szCs w:val="24"/>
                <w:lang w:eastAsia="zh-CN"/>
              </w:rPr>
              <w:t>行政</w:t>
            </w:r>
            <w:r>
              <w:rPr>
                <w:rFonts w:hint="eastAsia" w:ascii="仿宋_GB2312" w:hAnsi="仿宋_GB2312" w:eastAsia="仿宋_GB2312" w:cs="仿宋_GB2312"/>
                <w:sz w:val="24"/>
                <w:szCs w:val="24"/>
              </w:rPr>
              <w:t>规范性文件</w:t>
            </w:r>
          </w:p>
        </w:tc>
        <w:tc>
          <w:tcPr>
            <w:tcW w:w="2588"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225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198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cs="Times New Roman"/>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cs="Times New Roman"/>
                <w:sz w:val="24"/>
                <w:szCs w:val="24"/>
              </w:rPr>
            </w:pPr>
            <w:r>
              <w:rPr>
                <w:rFonts w:hint="eastAsia" w:ascii="黑体" w:hAnsi="黑体" w:eastAsia="黑体" w:cs="黑体"/>
                <w:sz w:val="24"/>
                <w:szCs w:val="24"/>
                <w:lang w:eastAsia="zh-CN"/>
              </w:rPr>
              <w:t>本年</w:t>
            </w: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仿宋_GB2312"/>
                <w:sz w:val="24"/>
                <w:szCs w:val="24"/>
              </w:rPr>
              <w:t>行政许可</w:t>
            </w:r>
          </w:p>
        </w:tc>
        <w:tc>
          <w:tcPr>
            <w:tcW w:w="6820"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highlight w:val="yellow"/>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cs="Times New Roman"/>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cs="Times New Roman"/>
                <w:sz w:val="24"/>
                <w:szCs w:val="24"/>
              </w:rPr>
            </w:pPr>
            <w:r>
              <w:rPr>
                <w:rFonts w:hint="eastAsia" w:ascii="黑体" w:hAnsi="黑体" w:eastAsia="黑体" w:cs="黑体"/>
                <w:sz w:val="24"/>
                <w:szCs w:val="24"/>
                <w:lang w:eastAsia="zh-CN"/>
              </w:rPr>
              <w:t>本年</w:t>
            </w: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仿宋_GB2312"/>
                <w:sz w:val="24"/>
                <w:szCs w:val="24"/>
              </w:rPr>
              <w:t>行政处罚</w:t>
            </w:r>
          </w:p>
        </w:tc>
        <w:tc>
          <w:tcPr>
            <w:tcW w:w="6820"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仿宋_GB2312"/>
                <w:sz w:val="24"/>
                <w:szCs w:val="24"/>
              </w:rPr>
              <w:t>行政强制</w:t>
            </w:r>
          </w:p>
        </w:tc>
        <w:tc>
          <w:tcPr>
            <w:tcW w:w="6820"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cs="Times New Roman"/>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Times New Roman"/>
                <w:sz w:val="24"/>
                <w:szCs w:val="24"/>
                <w:lang w:eastAsia="zh-CN"/>
              </w:rPr>
            </w:pPr>
            <w:r>
              <w:rPr>
                <w:rFonts w:hint="eastAsia" w:ascii="黑体" w:hAnsi="黑体" w:eastAsia="黑体" w:cs="黑体"/>
                <w:sz w:val="24"/>
                <w:szCs w:val="24"/>
                <w:lang w:eastAsia="zh-CN"/>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仿宋_GB2312"/>
                <w:sz w:val="24"/>
                <w:szCs w:val="24"/>
              </w:rPr>
              <w:t>行政事业性收费</w:t>
            </w:r>
          </w:p>
        </w:tc>
        <w:tc>
          <w:tcPr>
            <w:tcW w:w="6820" w:type="dxa"/>
            <w:gridSpan w:val="3"/>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hint="eastAsia" w:ascii="黑体" w:hAnsi="黑体" w:eastAsia="黑体" w:cs="黑体"/>
          <w:b/>
          <w:color w:val="3D3D3D"/>
          <w:kern w:val="0"/>
          <w:sz w:val="32"/>
          <w:szCs w:val="32"/>
        </w:rPr>
      </w:pPr>
      <w:r>
        <w:rPr>
          <w:rFonts w:hint="eastAsia" w:ascii="黑体" w:hAnsi="黑体" w:eastAsia="黑体" w:cs="黑体"/>
          <w:b/>
          <w:color w:val="3D3D3D"/>
          <w:kern w:val="0"/>
          <w:sz w:val="32"/>
          <w:szCs w:val="32"/>
        </w:rPr>
        <w:t>三、收到和处理政府信息公开申请情况</w:t>
      </w:r>
    </w:p>
    <w:tbl>
      <w:tblPr>
        <w:tblStyle w:val="4"/>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宋体" w:eastAsia="宋体" w:cs="Times New Roman"/>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812" w:type="dxa"/>
            <w:gridSpan w:val="7"/>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cs="Times New Roman"/>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宋体" w:eastAsia="宋体" w:cs="Times New Roman"/>
                <w:sz w:val="18"/>
                <w:szCs w:val="18"/>
              </w:rPr>
            </w:pPr>
          </w:p>
        </w:tc>
        <w:tc>
          <w:tcPr>
            <w:tcW w:w="696" w:type="dxa"/>
            <w:vMerge w:val="restart"/>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cs="Times New Roman"/>
                <w:sz w:val="24"/>
                <w:szCs w:val="24"/>
              </w:rPr>
            </w:pPr>
            <w:r>
              <w:rPr>
                <w:rFonts w:hint="eastAsia" w:ascii="黑体" w:hAnsi="黑体" w:eastAsia="黑体" w:cs="黑体"/>
                <w:sz w:val="24"/>
                <w:szCs w:val="24"/>
              </w:rPr>
              <w:t>自然人</w:t>
            </w:r>
          </w:p>
        </w:tc>
        <w:tc>
          <w:tcPr>
            <w:tcW w:w="3597" w:type="dxa"/>
            <w:gridSpan w:val="5"/>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cs="Times New Roman"/>
                <w:sz w:val="24"/>
                <w:szCs w:val="24"/>
              </w:rPr>
            </w:pPr>
            <w:r>
              <w:rPr>
                <w:rFonts w:hint="eastAsia" w:ascii="黑体" w:hAnsi="黑体" w:eastAsia="黑体" w:cs="黑体"/>
                <w:sz w:val="24"/>
                <w:szCs w:val="24"/>
              </w:rPr>
              <w:t>法人或其他组织</w:t>
            </w:r>
          </w:p>
        </w:tc>
        <w:tc>
          <w:tcPr>
            <w:tcW w:w="519" w:type="dxa"/>
            <w:vMerge w:val="restart"/>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cs="Times New Roman"/>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宋体" w:eastAsia="宋体" w:cs="Times New Roman"/>
                <w:sz w:val="18"/>
                <w:szCs w:val="18"/>
              </w:rPr>
            </w:pPr>
          </w:p>
        </w:tc>
        <w:tc>
          <w:tcPr>
            <w:tcW w:w="696"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黑体" w:hAnsi="黑体" w:eastAsia="黑体" w:cs="Times New Roman"/>
                <w:sz w:val="24"/>
                <w:szCs w:val="24"/>
              </w:rPr>
            </w:pP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cs="Times New Roman"/>
                <w:sz w:val="24"/>
                <w:szCs w:val="24"/>
              </w:rPr>
            </w:pPr>
            <w:r>
              <w:rPr>
                <w:rFonts w:hint="eastAsia" w:ascii="黑体" w:hAnsi="黑体" w:eastAsia="黑体" w:cs="黑体"/>
                <w:sz w:val="24"/>
                <w:szCs w:val="24"/>
              </w:rPr>
              <w:t>商业企业</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cs="Times New Roman"/>
                <w:sz w:val="24"/>
                <w:szCs w:val="24"/>
              </w:rPr>
            </w:pPr>
            <w:r>
              <w:rPr>
                <w:rFonts w:hint="eastAsia" w:ascii="黑体" w:hAnsi="黑体" w:eastAsia="黑体" w:cs="黑体"/>
                <w:sz w:val="24"/>
                <w:szCs w:val="24"/>
              </w:rPr>
              <w:t>科研机构</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cs="Times New Roman"/>
                <w:sz w:val="24"/>
                <w:szCs w:val="24"/>
              </w:rPr>
            </w:pPr>
            <w:r>
              <w:rPr>
                <w:rFonts w:hint="eastAsia" w:ascii="黑体" w:hAnsi="黑体" w:eastAsia="黑体" w:cs="黑体"/>
                <w:sz w:val="24"/>
                <w:szCs w:val="24"/>
              </w:rPr>
              <w:t>社会公益组织</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cs="Times New Roman"/>
                <w:sz w:val="24"/>
                <w:szCs w:val="24"/>
              </w:rPr>
            </w:pPr>
            <w:r>
              <w:rPr>
                <w:rFonts w:hint="eastAsia" w:ascii="黑体" w:hAnsi="黑体" w:eastAsia="黑体" w:cs="黑体"/>
                <w:sz w:val="24"/>
                <w:szCs w:val="24"/>
              </w:rPr>
              <w:t>法律服务机构</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黑体" w:hAnsi="黑体" w:eastAsia="黑体" w:cs="Times New Roman"/>
                <w:sz w:val="24"/>
                <w:szCs w:val="24"/>
              </w:rPr>
            </w:pPr>
            <w:r>
              <w:rPr>
                <w:rFonts w:hint="eastAsia" w:ascii="黑体" w:hAnsi="黑体" w:eastAsia="黑体" w:cs="黑体"/>
                <w:sz w:val="24"/>
                <w:szCs w:val="24"/>
              </w:rPr>
              <w:t>其他</w:t>
            </w:r>
          </w:p>
        </w:tc>
        <w:tc>
          <w:tcPr>
            <w:tcW w:w="519"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黑体" w:hAnsi="黑体" w:eastAsia="黑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hint="eastAsia" w:ascii="仿宋_GB2312" w:hAnsi="仿宋_GB2312" w:eastAsia="仿宋_GB2312" w:cs="仿宋_GB2312"/>
                <w:sz w:val="24"/>
                <w:szCs w:val="24"/>
              </w:rPr>
              <w:t>一</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本年新收到政府信息公开申请数量</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hint="eastAsia" w:ascii="仿宋_GB2312" w:hAnsi="仿宋_GB2312" w:eastAsia="仿宋_GB2312" w:cs="仿宋_GB2312"/>
                <w:sz w:val="24"/>
                <w:szCs w:val="24"/>
              </w:rPr>
              <w:t>二</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上年结转政府信息公开申请数量</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hint="eastAsia" w:ascii="仿宋_GB2312" w:hAnsi="仿宋_GB2312" w:eastAsia="仿宋_GB2312" w:cs="仿宋_GB2312"/>
                <w:sz w:val="24"/>
                <w:szCs w:val="24"/>
              </w:rPr>
              <w:t>三、本年度办理结果</w:t>
            </w:r>
          </w:p>
        </w:tc>
        <w:tc>
          <w:tcPr>
            <w:tcW w:w="3108" w:type="dxa"/>
            <w:gridSpan w:val="2"/>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hint="eastAsia" w:ascii="仿宋_GB2312" w:hAnsi="仿宋_GB2312" w:eastAsia="仿宋_GB2312" w:cs="仿宋_GB2312"/>
                <w:sz w:val="24"/>
                <w:szCs w:val="24"/>
              </w:rPr>
              <w:t>（一）予以公开</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3108" w:type="dxa"/>
            <w:gridSpan w:val="2"/>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hint="eastAsia" w:ascii="仿宋_GB2312" w:hAnsi="仿宋_GB2312" w:eastAsia="仿宋_GB2312" w:cs="仿宋_GB2312"/>
                <w:sz w:val="24"/>
                <w:szCs w:val="24"/>
              </w:rPr>
              <w:t>（二）部分公开（区分处理的，只计这一情形，不计其他情形）</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1080" w:type="dxa"/>
            <w:vMerge w:val="restart"/>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hint="eastAsia" w:ascii="仿宋_GB2312" w:hAnsi="仿宋_GB2312" w:eastAsia="仿宋_GB2312" w:cs="仿宋_GB2312"/>
                <w:sz w:val="24"/>
                <w:szCs w:val="24"/>
              </w:rPr>
              <w:t>（三）不予公开</w:t>
            </w:r>
          </w:p>
        </w:tc>
        <w:tc>
          <w:tcPr>
            <w:tcW w:w="2028" w:type="dxa"/>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1080"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2028" w:type="dxa"/>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1080"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2028" w:type="dxa"/>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1080"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2028" w:type="dxa"/>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1080"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2028" w:type="dxa"/>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1080"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2028" w:type="dxa"/>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1080"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2028" w:type="dxa"/>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1080"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2028" w:type="dxa"/>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1080" w:type="dxa"/>
            <w:vMerge w:val="restart"/>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hint="eastAsia" w:ascii="仿宋_GB2312" w:hAnsi="仿宋_GB2312" w:eastAsia="仿宋_GB2312" w:cs="仿宋_GB2312"/>
                <w:sz w:val="24"/>
                <w:szCs w:val="24"/>
              </w:rPr>
              <w:t>（四）无法提供</w:t>
            </w:r>
          </w:p>
        </w:tc>
        <w:tc>
          <w:tcPr>
            <w:tcW w:w="2028" w:type="dxa"/>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1080"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2028" w:type="dxa"/>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1080"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2028" w:type="dxa"/>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1080" w:type="dxa"/>
            <w:vMerge w:val="restart"/>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hint="eastAsia" w:ascii="仿宋_GB2312" w:hAnsi="仿宋_GB2312" w:eastAsia="仿宋_GB2312" w:cs="仿宋_GB2312"/>
                <w:sz w:val="24"/>
                <w:szCs w:val="24"/>
              </w:rPr>
              <w:t>（五）不予处理</w:t>
            </w:r>
          </w:p>
        </w:tc>
        <w:tc>
          <w:tcPr>
            <w:tcW w:w="2028" w:type="dxa"/>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1080"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2028" w:type="dxa"/>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1080"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2028" w:type="dxa"/>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1080"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2028" w:type="dxa"/>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1080"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2028" w:type="dxa"/>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1080" w:type="dxa"/>
            <w:vMerge w:val="restart"/>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hint="eastAsia" w:ascii="仿宋_GB2312" w:hAnsi="仿宋_GB2312" w:eastAsia="仿宋_GB2312" w:cs="仿宋_GB2312"/>
                <w:sz w:val="24"/>
                <w:szCs w:val="24"/>
              </w:rPr>
              <w:t>（六）其他处理</w:t>
            </w:r>
          </w:p>
        </w:tc>
        <w:tc>
          <w:tcPr>
            <w:tcW w:w="2028" w:type="dxa"/>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1.申请人无正当理由逾期不补正、行政机关不再处理其政府信息公开申请</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1080"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p>
        </w:tc>
        <w:tc>
          <w:tcPr>
            <w:tcW w:w="2028" w:type="dxa"/>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2.申请人逾期未按收费通知要求缴纳费用、行政机关不再处理其政府信息公开申请</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1080"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24"/>
                <w:szCs w:val="24"/>
              </w:rPr>
            </w:pPr>
          </w:p>
        </w:tc>
        <w:tc>
          <w:tcPr>
            <w:tcW w:w="2028" w:type="dxa"/>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3.其他</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p>
        </w:tc>
        <w:tc>
          <w:tcPr>
            <w:tcW w:w="3108" w:type="dxa"/>
            <w:gridSpan w:val="2"/>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hint="eastAsia" w:ascii="仿宋_GB2312" w:hAnsi="仿宋_GB2312" w:eastAsia="仿宋_GB2312" w:cs="仿宋_GB2312"/>
                <w:sz w:val="24"/>
                <w:szCs w:val="24"/>
              </w:rPr>
              <w:t>（七）总计</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vAlign w:val="center"/>
          </w:tcPr>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Times New Roman"/>
                <w:sz w:val="24"/>
                <w:szCs w:val="24"/>
              </w:rPr>
            </w:pPr>
            <w:r>
              <w:rPr>
                <w:rFonts w:hint="eastAsia" w:ascii="仿宋_GB2312" w:hAnsi="仿宋_GB2312" w:eastAsia="仿宋_GB2312" w:cs="仿宋_GB2312"/>
                <w:sz w:val="24"/>
                <w:szCs w:val="24"/>
              </w:rPr>
              <w:t>四、结转下年度继续办理</w:t>
            </w:r>
          </w:p>
        </w:tc>
        <w:tc>
          <w:tcPr>
            <w:tcW w:w="696"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b/>
          <w:bCs/>
          <w:sz w:val="32"/>
          <w:szCs w:val="32"/>
        </w:rPr>
      </w:pPr>
      <w:r>
        <w:rPr>
          <w:rFonts w:hint="eastAsia" w:ascii="黑体" w:hAnsi="黑体" w:eastAsia="黑体" w:cs="黑体"/>
          <w:b/>
          <w:color w:val="3D3D3D"/>
          <w:kern w:val="0"/>
          <w:sz w:val="32"/>
          <w:szCs w:val="32"/>
        </w:rPr>
        <w:t>四、政府信息公开行政复议、行政诉讼情况</w:t>
      </w:r>
    </w:p>
    <w:tbl>
      <w:tblPr>
        <w:tblStyle w:val="4"/>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3" w:type="dxa"/>
            <w:vMerge w:val="restart"/>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3" w:type="dxa"/>
            <w:vMerge w:val="restart"/>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3" w:type="dxa"/>
            <w:vMerge w:val="restart"/>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61" w:type="dxa"/>
            <w:vMerge w:val="restart"/>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892" w:type="dxa"/>
            <w:gridSpan w:val="5"/>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2954" w:type="dxa"/>
            <w:gridSpan w:val="5"/>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rPr>
            </w:pPr>
          </w:p>
        </w:tc>
        <w:tc>
          <w:tcPr>
            <w:tcW w:w="661" w:type="dxa"/>
            <w:vMerge w:val="continue"/>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rPr>
            </w:pPr>
          </w:p>
        </w:tc>
        <w:tc>
          <w:tcPr>
            <w:tcW w:w="529"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4"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1"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84"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5"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7"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583"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3"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1</w:t>
            </w:r>
          </w:p>
        </w:tc>
        <w:tc>
          <w:tcPr>
            <w:tcW w:w="583"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3"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661"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1</w:t>
            </w:r>
          </w:p>
        </w:tc>
        <w:tc>
          <w:tcPr>
            <w:tcW w:w="529"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Times New Roman"/>
                <w:sz w:val="24"/>
                <w:szCs w:val="24"/>
                <w:lang w:val="en-US" w:eastAsia="zh-CN"/>
              </w:rPr>
              <w:t>1</w:t>
            </w:r>
          </w:p>
        </w:tc>
        <w:tc>
          <w:tcPr>
            <w:tcW w:w="584"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4"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4"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611"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1</w:t>
            </w:r>
          </w:p>
        </w:tc>
        <w:tc>
          <w:tcPr>
            <w:tcW w:w="584"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4"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4"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585"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c>
          <w:tcPr>
            <w:tcW w:w="617" w:type="dxa"/>
            <w:tcBorders>
              <w:tl2br w:val="nil"/>
              <w:tr2bl w:val="nil"/>
            </w:tcBorders>
            <w:tcMar>
              <w:left w:w="108" w:type="dxa"/>
              <w:right w:w="108" w:type="dxa"/>
            </w:tcMar>
            <w:vAlign w:val="center"/>
          </w:tcPr>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ascii="黑体" w:hAnsi="黑体" w:eastAsia="黑体" w:cs="黑体"/>
          <w:b/>
          <w:color w:val="3D3D3D"/>
          <w:kern w:val="0"/>
          <w:sz w:val="32"/>
          <w:szCs w:val="32"/>
        </w:rPr>
      </w:pPr>
      <w:r>
        <w:rPr>
          <w:rFonts w:hint="eastAsia" w:ascii="黑体" w:hAnsi="黑体" w:eastAsia="黑体" w:cs="黑体"/>
          <w:b/>
          <w:color w:val="3D3D3D"/>
          <w:kern w:val="0"/>
          <w:sz w:val="32"/>
          <w:szCs w:val="32"/>
        </w:rPr>
        <w:t>五、存在的主要问题及改进情况</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3D3D3D"/>
          <w:kern w:val="0"/>
          <w:sz w:val="32"/>
          <w:szCs w:val="32"/>
        </w:rPr>
      </w:pPr>
      <w:r>
        <w:rPr>
          <w:rFonts w:hint="eastAsia" w:ascii="仿宋_GB2312" w:hAnsi="仿宋_GB2312" w:eastAsia="仿宋_GB2312" w:cs="仿宋_GB2312"/>
          <w:color w:val="3D3D3D"/>
          <w:kern w:val="0"/>
          <w:sz w:val="32"/>
          <w:szCs w:val="32"/>
        </w:rPr>
        <w:t>2021年我街道信息公开工作</w:t>
      </w:r>
      <w:r>
        <w:rPr>
          <w:rFonts w:hint="eastAsia" w:ascii="仿宋_GB2312" w:hAnsi="仿宋_GB2312" w:eastAsia="仿宋_GB2312" w:cs="仿宋_GB2312"/>
          <w:color w:val="3D3D3D"/>
          <w:kern w:val="0"/>
          <w:sz w:val="32"/>
          <w:szCs w:val="32"/>
          <w:lang w:eastAsia="zh-CN"/>
        </w:rPr>
        <w:t>有序推进，但仍存在着</w:t>
      </w:r>
      <w:r>
        <w:rPr>
          <w:rFonts w:hint="eastAsia" w:ascii="仿宋_GB2312" w:hAnsi="仿宋_GB2312" w:eastAsia="仿宋_GB2312" w:cs="仿宋_GB2312"/>
          <w:color w:val="3D3D3D"/>
          <w:kern w:val="0"/>
          <w:sz w:val="32"/>
          <w:szCs w:val="32"/>
        </w:rPr>
        <w:t>重点领域信息公开深度不够</w:t>
      </w:r>
      <w:r>
        <w:rPr>
          <w:rFonts w:hint="eastAsia" w:ascii="仿宋_GB2312" w:hAnsi="仿宋_GB2312" w:eastAsia="仿宋_GB2312" w:cs="仿宋_GB2312"/>
          <w:color w:val="3D3D3D"/>
          <w:kern w:val="0"/>
          <w:sz w:val="32"/>
          <w:szCs w:val="32"/>
          <w:lang w:eastAsia="zh-CN"/>
        </w:rPr>
        <w:t>、信息</w:t>
      </w:r>
      <w:r>
        <w:rPr>
          <w:rFonts w:hint="eastAsia" w:ascii="仿宋_GB2312" w:hAnsi="仿宋_GB2312" w:eastAsia="仿宋_GB2312" w:cs="仿宋_GB2312"/>
          <w:color w:val="3D3D3D"/>
          <w:kern w:val="0"/>
          <w:sz w:val="32"/>
          <w:szCs w:val="32"/>
        </w:rPr>
        <w:t>公开队伍</w:t>
      </w:r>
      <w:r>
        <w:rPr>
          <w:rFonts w:hint="eastAsia" w:ascii="仿宋_GB2312" w:hAnsi="仿宋_GB2312" w:eastAsia="仿宋_GB2312" w:cs="仿宋_GB2312"/>
          <w:color w:val="3D3D3D"/>
          <w:kern w:val="0"/>
          <w:sz w:val="32"/>
          <w:szCs w:val="32"/>
          <w:lang w:eastAsia="zh-CN"/>
        </w:rPr>
        <w:t>水平有待提高、</w:t>
      </w:r>
      <w:r>
        <w:rPr>
          <w:rFonts w:hint="eastAsia" w:ascii="仿宋_GB2312" w:hAnsi="仿宋_GB2312" w:eastAsia="仿宋_GB2312" w:cs="仿宋_GB2312"/>
          <w:color w:val="3D3D3D"/>
          <w:kern w:val="0"/>
          <w:sz w:val="32"/>
          <w:szCs w:val="32"/>
        </w:rPr>
        <w:t>政务新媒体更新不及时</w:t>
      </w:r>
      <w:r>
        <w:rPr>
          <w:rFonts w:hint="eastAsia" w:ascii="仿宋_GB2312" w:hAnsi="仿宋_GB2312" w:eastAsia="仿宋_GB2312" w:cs="仿宋_GB2312"/>
          <w:color w:val="3D3D3D"/>
          <w:kern w:val="0"/>
          <w:sz w:val="32"/>
          <w:szCs w:val="32"/>
          <w:lang w:eastAsia="zh-CN"/>
        </w:rPr>
        <w:t>等问题</w:t>
      </w:r>
      <w:r>
        <w:rPr>
          <w:rFonts w:hint="eastAsia" w:ascii="仿宋_GB2312" w:hAnsi="仿宋_GB2312" w:eastAsia="仿宋_GB2312" w:cs="仿宋_GB2312"/>
          <w:color w:val="3D3D3D"/>
          <w:kern w:val="0"/>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color w:val="3D3D3D"/>
          <w:kern w:val="0"/>
          <w:sz w:val="32"/>
          <w:szCs w:val="32"/>
        </w:rPr>
      </w:pPr>
      <w:r>
        <w:rPr>
          <w:rFonts w:hint="eastAsia" w:ascii="仿宋_GB2312" w:hAnsi="仿宋_GB2312" w:eastAsia="仿宋_GB2312" w:cs="仿宋_GB2312"/>
          <w:sz w:val="32"/>
          <w:szCs w:val="32"/>
          <w:highlight w:val="none"/>
          <w:lang w:eastAsia="zh-CN"/>
        </w:rPr>
        <w:t>202</w:t>
      </w:r>
      <w:r>
        <w:rPr>
          <w:rFonts w:hint="eastAsia" w:ascii="仿宋_GB2312" w:hAnsi="仿宋_GB2312" w:eastAsia="仿宋_GB2312" w:cs="仿宋_GB2312"/>
          <w:sz w:val="32"/>
          <w:szCs w:val="32"/>
          <w:highlight w:val="none"/>
          <w:lang w:val="en-US" w:eastAsia="zh-CN"/>
        </w:rPr>
        <w:t>2</w:t>
      </w:r>
      <w:r>
        <w:rPr>
          <w:rFonts w:hint="eastAsia" w:ascii="仿宋_GB2312" w:hAnsi="仿宋_GB2312" w:eastAsia="仿宋_GB2312" w:cs="仿宋_GB2312"/>
          <w:sz w:val="32"/>
          <w:szCs w:val="32"/>
          <w:highlight w:val="none"/>
          <w:lang w:eastAsia="zh-CN"/>
        </w:rPr>
        <w:t>年，本</w:t>
      </w:r>
      <w:r>
        <w:rPr>
          <w:rFonts w:hint="eastAsia" w:ascii="仿宋_GB2312" w:hAnsi="仿宋_GB2312" w:eastAsia="仿宋_GB2312" w:cs="仿宋_GB2312"/>
          <w:sz w:val="32"/>
          <w:szCs w:val="32"/>
          <w:lang w:eastAsia="zh-CN"/>
        </w:rPr>
        <w:t>街道将严格按照上级要求，进一步健全完善公开制度体系，着力深化重点领域信息公开、加强公开工作队伍建设。努力扩大政务的公众参与，开拓创新信息公开渠道，</w:t>
      </w:r>
      <w:r>
        <w:rPr>
          <w:rFonts w:hint="eastAsia" w:ascii="仿宋_GB2312" w:hAnsi="仿宋_GB2312" w:eastAsia="仿宋_GB2312" w:cs="仿宋_GB2312"/>
          <w:color w:val="3D3D3D"/>
          <w:kern w:val="0"/>
          <w:sz w:val="32"/>
          <w:szCs w:val="32"/>
        </w:rPr>
        <w:t>进一步增加政府信息公开更新频率和数量。</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ascii="黑体" w:hAnsi="黑体" w:eastAsia="黑体" w:cs="黑体"/>
          <w:b/>
          <w:color w:val="3D3D3D"/>
          <w:kern w:val="0"/>
          <w:sz w:val="32"/>
          <w:szCs w:val="32"/>
        </w:rPr>
      </w:pPr>
      <w:r>
        <w:rPr>
          <w:rFonts w:hint="eastAsia" w:ascii="黑体" w:hAnsi="黑体" w:eastAsia="黑体" w:cs="黑体"/>
          <w:b/>
          <w:color w:val="3D3D3D"/>
          <w:kern w:val="0"/>
          <w:sz w:val="32"/>
          <w:szCs w:val="32"/>
        </w:rPr>
        <w:t>六、其他需要报告的事项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3D3D3D"/>
          <w:kern w:val="0"/>
          <w:sz w:val="32"/>
          <w:szCs w:val="32"/>
        </w:rPr>
      </w:pPr>
      <w:r>
        <w:rPr>
          <w:rFonts w:hint="eastAsia" w:ascii="仿宋_GB2312" w:hAnsi="仿宋_GB2312" w:eastAsia="仿宋_GB2312" w:cs="仿宋_GB2312"/>
          <w:color w:val="3D3D3D"/>
          <w:kern w:val="0"/>
          <w:sz w:val="32"/>
          <w:szCs w:val="32"/>
        </w:rPr>
        <w:t>2021年1月1日至12月31日，本单位共收取信息处理费0元。</w:t>
      </w:r>
    </w:p>
    <w:p>
      <w:pPr>
        <w:keepNext w:val="0"/>
        <w:keepLines w:val="0"/>
        <w:pageBreakBefore w:val="0"/>
        <w:kinsoku/>
        <w:wordWrap/>
        <w:overflowPunct/>
        <w:topLinePunct w:val="0"/>
        <w:autoSpaceDE/>
        <w:autoSpaceDN/>
        <w:bidi w:val="0"/>
        <w:adjustRightInd/>
        <w:snapToGrid/>
        <w:spacing w:line="560" w:lineRule="exact"/>
        <w:textAlignment w:val="auto"/>
        <w:rPr>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480"/>
        <w:jc w:val="left"/>
        <w:textAlignment w:val="auto"/>
        <w:rPr>
          <w:rFonts w:ascii="微软雅黑" w:hAnsi="微软雅黑" w:eastAsia="微软雅黑" w:cs="宋体"/>
          <w:color w:val="3D3D3D"/>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4800" w:firstLineChars="1500"/>
        <w:jc w:val="left"/>
        <w:textAlignment w:val="auto"/>
        <w:rPr>
          <w:rFonts w:ascii="仿宋_GB2312" w:hAnsi="仿宋_GB2312" w:eastAsia="仿宋_GB2312" w:cs="仿宋_GB2312"/>
          <w:color w:val="3D3D3D"/>
          <w:kern w:val="0"/>
          <w:sz w:val="32"/>
          <w:szCs w:val="32"/>
        </w:rPr>
      </w:pPr>
      <w:r>
        <w:rPr>
          <w:rFonts w:hint="eastAsia" w:ascii="仿宋_GB2312" w:hAnsi="仿宋_GB2312" w:eastAsia="仿宋_GB2312" w:cs="仿宋_GB2312"/>
          <w:color w:val="3D3D3D"/>
          <w:kern w:val="0"/>
          <w:sz w:val="32"/>
          <w:szCs w:val="32"/>
        </w:rPr>
        <w:t xml:space="preserve">坎墩街道街道办事处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color w:val="3D3D3D"/>
          <w:kern w:val="0"/>
          <w:sz w:val="32"/>
          <w:szCs w:val="32"/>
        </w:rPr>
      </w:pPr>
      <w:r>
        <w:rPr>
          <w:rFonts w:hint="eastAsia" w:ascii="仿宋_GB2312" w:hAnsi="仿宋_GB2312" w:eastAsia="仿宋_GB2312" w:cs="仿宋_GB2312"/>
          <w:color w:val="3D3D3D"/>
          <w:kern w:val="0"/>
          <w:sz w:val="32"/>
          <w:szCs w:val="32"/>
        </w:rPr>
        <w:t xml:space="preserve">                            2022年1月11日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0957CC"/>
    <w:rsid w:val="000957CC"/>
    <w:rsid w:val="001A38EC"/>
    <w:rsid w:val="001F5BAC"/>
    <w:rsid w:val="00276037"/>
    <w:rsid w:val="003930AF"/>
    <w:rsid w:val="004850A1"/>
    <w:rsid w:val="00545D6B"/>
    <w:rsid w:val="0060391D"/>
    <w:rsid w:val="00642FA6"/>
    <w:rsid w:val="00946136"/>
    <w:rsid w:val="00982A75"/>
    <w:rsid w:val="00A1124F"/>
    <w:rsid w:val="00A43611"/>
    <w:rsid w:val="00AA7372"/>
    <w:rsid w:val="00C2789C"/>
    <w:rsid w:val="00CC3205"/>
    <w:rsid w:val="00DB0AB9"/>
    <w:rsid w:val="00E93FA5"/>
    <w:rsid w:val="01255797"/>
    <w:rsid w:val="048C060E"/>
    <w:rsid w:val="09EB6200"/>
    <w:rsid w:val="0C6A5416"/>
    <w:rsid w:val="0F334436"/>
    <w:rsid w:val="14B72757"/>
    <w:rsid w:val="25C94130"/>
    <w:rsid w:val="26E127C9"/>
    <w:rsid w:val="2BC4089D"/>
    <w:rsid w:val="30C83DC9"/>
    <w:rsid w:val="351D3F1E"/>
    <w:rsid w:val="48F47AC7"/>
    <w:rsid w:val="4A596D9B"/>
    <w:rsid w:val="56653642"/>
    <w:rsid w:val="61B77D9C"/>
    <w:rsid w:val="690F6588"/>
    <w:rsid w:val="712A617E"/>
    <w:rsid w:val="73C26A84"/>
    <w:rsid w:val="750519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qFormat/>
    <w:uiPriority w:val="99"/>
    <w:pPr>
      <w:tabs>
        <w:tab w:val="center" w:pos="4153"/>
        <w:tab w:val="right" w:pos="8306"/>
      </w:tabs>
      <w:snapToGrid w:val="0"/>
      <w:jc w:val="left"/>
    </w:pPr>
    <w:rPr>
      <w:sz w:val="18"/>
      <w:szCs w:val="18"/>
    </w:rPr>
  </w:style>
  <w:style w:type="paragraph" w:styleId="3">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22"/>
    <w:rPr>
      <w:b/>
    </w:rPr>
  </w:style>
  <w:style w:type="character" w:customStyle="1" w:styleId="7">
    <w:name w:val="页眉 Char"/>
    <w:basedOn w:val="5"/>
    <w:link w:val="3"/>
    <w:semiHidden/>
    <w:qFormat/>
    <w:uiPriority w:val="99"/>
    <w:rPr>
      <w:sz w:val="18"/>
      <w:szCs w:val="18"/>
    </w:rPr>
  </w:style>
  <w:style w:type="character" w:customStyle="1" w:styleId="8">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6</Pages>
  <Words>1977</Words>
  <Characters>2035</Characters>
  <Lines>17</Lines>
  <Paragraphs>4</Paragraphs>
  <TotalTime>0</TotalTime>
  <ScaleCrop>false</ScaleCrop>
  <LinksUpToDate>false</LinksUpToDate>
  <CharactersWithSpaces>2066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2020-03-17T05:40:00Z</dcterms:created>
  <dc:creator>PC</dc:creator>
  <cp:lastModifiedBy>陈裕</cp:lastModifiedBy>
  <cp:lastPrinted>2022-01-17T08:07:00Z</cp:lastPrinted>
  <dcterms:modified xsi:type="dcterms:W3CDTF">2022-04-07T08:40:01Z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92AE24D951B34216BF0DB3CE6868B9F2</vt:lpwstr>
  </property>
</Properties>
</file>