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color w:val="auto"/>
          <w:sz w:val="36"/>
          <w:szCs w:val="36"/>
        </w:rPr>
      </w:pPr>
      <w:r>
        <w:rPr>
          <w:rFonts w:ascii="方正小标宋简体" w:hAnsi="方正小标宋简体" w:eastAsia="方正小标宋简体" w:cs="方正小标宋简体"/>
          <w:color w:val="auto"/>
          <w:sz w:val="36"/>
          <w:szCs w:val="36"/>
        </w:rPr>
        <w:t>202</w:t>
      </w:r>
      <w:r>
        <w:rPr>
          <w:rFonts w:hint="eastAsia" w:ascii="方正小标宋简体" w:hAnsi="方正小标宋简体" w:eastAsia="方正小标宋简体" w:cs="方正小标宋简体"/>
          <w:color w:val="auto"/>
          <w:sz w:val="36"/>
          <w:szCs w:val="36"/>
        </w:rPr>
        <w:t>3年慈溪市</w:t>
      </w:r>
      <w:r>
        <w:rPr>
          <w:rFonts w:hint="eastAsia" w:ascii="方正小标宋简体" w:hAnsi="方正小标宋简体" w:eastAsia="方正小标宋简体" w:cs="方正小标宋简体"/>
          <w:color w:val="auto"/>
          <w:sz w:val="36"/>
          <w:szCs w:val="36"/>
          <w:lang w:val="en-US" w:eastAsia="zh-CN"/>
        </w:rPr>
        <w:t>匡堰镇人民政府</w:t>
      </w:r>
      <w:r>
        <w:rPr>
          <w:rFonts w:hint="eastAsia" w:ascii="方正小标宋简体" w:hAnsi="方正小标宋简体" w:eastAsia="方正小标宋简体" w:cs="方正小标宋简体"/>
          <w:color w:val="auto"/>
          <w:sz w:val="36"/>
          <w:szCs w:val="36"/>
        </w:rPr>
        <w:t>信息公开工作</w:t>
      </w:r>
    </w:p>
    <w:p>
      <w:pPr>
        <w:spacing w:line="56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年度报告</w:t>
      </w:r>
    </w:p>
    <w:p>
      <w:pPr>
        <w:spacing w:line="560" w:lineRule="exact"/>
        <w:ind w:firstLine="640" w:firstLineChars="200"/>
        <w:rPr>
          <w:rFonts w:ascii="??_GB2312" w:hAnsi="??_GB2312" w:eastAsia="Times New Roman" w:cs="??_GB2312"/>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一、总体情况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5"/>
        <w:textAlignment w:val="auto"/>
        <w:rPr>
          <w:rFonts w:hint="eastAsia" w:ascii="仿宋_GB2312" w:hAnsi="微软雅黑" w:eastAsia="仿宋_GB2312" w:cs="仿宋_GB2312"/>
          <w:i w:val="0"/>
          <w:caps w:val="0"/>
          <w:color w:val="auto"/>
          <w:spacing w:val="0"/>
          <w:sz w:val="32"/>
          <w:szCs w:val="32"/>
          <w:lang w:val="en-US" w:eastAsia="zh-CN"/>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匡堰</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高度重视政府信息公开工作,严格按照《中华人民共和国政府信息公开条例》、《宁波市政府信息公开规定》及</w:t>
      </w:r>
      <w:r>
        <w:rPr>
          <w:rFonts w:hint="eastAsia" w:ascii="仿宋_GB2312" w:hAnsi="仿宋_GB2312" w:eastAsia="仿宋_GB2312" w:cs="仿宋_GB2312"/>
          <w:color w:val="auto"/>
          <w:sz w:val="32"/>
          <w:szCs w:val="32"/>
          <w:lang w:val="en-US" w:eastAsia="zh-CN"/>
        </w:rPr>
        <w:t>慈溪市政府</w:t>
      </w:r>
      <w:r>
        <w:rPr>
          <w:rFonts w:hint="eastAsia" w:ascii="仿宋_GB2312" w:hAnsi="仿宋_GB2312" w:eastAsia="仿宋_GB2312" w:cs="仿宋_GB2312"/>
          <w:color w:val="auto"/>
          <w:sz w:val="32"/>
          <w:szCs w:val="32"/>
        </w:rPr>
        <w:t>有关文件要求，</w:t>
      </w:r>
      <w:r>
        <w:rPr>
          <w:rFonts w:hint="eastAsia" w:ascii="仿宋_GB2312" w:hAnsi="微软雅黑" w:eastAsia="仿宋_GB2312" w:cs="仿宋_GB2312"/>
          <w:i w:val="0"/>
          <w:caps w:val="0"/>
          <w:color w:val="auto"/>
          <w:spacing w:val="0"/>
          <w:sz w:val="32"/>
          <w:szCs w:val="32"/>
        </w:rPr>
        <w:t>全面推进政府信息公开</w:t>
      </w:r>
      <w:r>
        <w:rPr>
          <w:rFonts w:hint="eastAsia" w:ascii="仿宋_GB2312" w:hAnsi="微软雅黑" w:eastAsia="仿宋_GB2312" w:cs="仿宋_GB2312"/>
          <w:i w:val="0"/>
          <w:caps w:val="0"/>
          <w:color w:val="auto"/>
          <w:spacing w:val="0"/>
          <w:sz w:val="32"/>
          <w:szCs w:val="32"/>
          <w:lang w:eastAsia="zh-CN"/>
        </w:rPr>
        <w:t>的全面</w:t>
      </w:r>
      <w:r>
        <w:rPr>
          <w:rFonts w:hint="eastAsia" w:ascii="仿宋_GB2312" w:hAnsi="微软雅黑" w:eastAsia="仿宋_GB2312" w:cs="仿宋_GB2312"/>
          <w:i w:val="0"/>
          <w:caps w:val="0"/>
          <w:color w:val="auto"/>
          <w:spacing w:val="0"/>
          <w:sz w:val="32"/>
          <w:szCs w:val="32"/>
        </w:rPr>
        <w:t>工作</w:t>
      </w:r>
      <w:r>
        <w:rPr>
          <w:rFonts w:hint="eastAsia" w:ascii="仿宋_GB2312" w:hAnsi="微软雅黑" w:eastAsia="仿宋_GB2312" w:cs="仿宋_GB2312"/>
          <w:i w:val="0"/>
          <w:caps w:val="0"/>
          <w:color w:val="auto"/>
          <w:spacing w:val="0"/>
          <w:sz w:val="32"/>
          <w:szCs w:val="32"/>
          <w:lang w:eastAsia="zh-CN"/>
        </w:rPr>
        <w:t>，政务公开的</w:t>
      </w:r>
      <w:r>
        <w:rPr>
          <w:rFonts w:hint="eastAsia" w:ascii="仿宋_GB2312" w:hAnsi="微软雅黑" w:eastAsia="仿宋_GB2312" w:cs="仿宋_GB2312"/>
          <w:i w:val="0"/>
          <w:caps w:val="0"/>
          <w:color w:val="auto"/>
          <w:spacing w:val="0"/>
          <w:sz w:val="32"/>
          <w:szCs w:val="32"/>
        </w:rPr>
        <w:t>工作质量和效果不断</w:t>
      </w:r>
      <w:r>
        <w:rPr>
          <w:rFonts w:hint="eastAsia" w:ascii="仿宋_GB2312" w:hAnsi="微软雅黑" w:eastAsia="仿宋_GB2312" w:cs="仿宋_GB2312"/>
          <w:i w:val="0"/>
          <w:caps w:val="0"/>
          <w:color w:val="auto"/>
          <w:spacing w:val="0"/>
          <w:sz w:val="32"/>
          <w:szCs w:val="32"/>
          <w:lang w:val="en-US" w:eastAsia="zh-CN"/>
        </w:rPr>
        <w:t>提</w:t>
      </w:r>
      <w:r>
        <w:rPr>
          <w:rFonts w:hint="eastAsia" w:ascii="仿宋_GB2312" w:hAnsi="微软雅黑" w:eastAsia="仿宋_GB2312" w:cs="仿宋_GB2312"/>
          <w:i w:val="0"/>
          <w:caps w:val="0"/>
          <w:color w:val="auto"/>
          <w:spacing w:val="0"/>
          <w:sz w:val="32"/>
          <w:szCs w:val="32"/>
        </w:rPr>
        <w:t>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Times New Roman" w:eastAsia="仿宋_GB2312" w:cs="Times New Roman"/>
          <w:color w:val="auto"/>
          <w:spacing w:val="-4"/>
          <w:sz w:val="32"/>
          <w:szCs w:val="32"/>
          <w:highlight w:val="none"/>
        </w:rPr>
      </w:pPr>
      <w:r>
        <w:rPr>
          <w:rFonts w:hint="eastAsia" w:ascii="楷体_GB2312" w:hAnsi="黑体" w:eastAsia="楷体_GB2312" w:cs="宋体"/>
          <w:b/>
          <w:bCs w:val="0"/>
          <w:color w:val="auto"/>
          <w:kern w:val="0"/>
          <w:sz w:val="32"/>
          <w:szCs w:val="32"/>
        </w:rPr>
        <w:t>（一）主动公开情况。</w:t>
      </w:r>
      <w:r>
        <w:rPr>
          <w:rFonts w:hint="eastAsia" w:ascii="仿宋_GB2312" w:hAnsi="微软雅黑" w:eastAsia="仿宋_GB2312" w:cs="仿宋_GB2312"/>
          <w:i w:val="0"/>
          <w:caps w:val="0"/>
          <w:color w:val="auto"/>
          <w:spacing w:val="0"/>
          <w:sz w:val="32"/>
          <w:szCs w:val="32"/>
          <w:lang w:eastAsia="zh-CN"/>
        </w:rPr>
        <w:t>积极做好主动公开，全面履行政府信息公开工作机构的各项职能</w:t>
      </w:r>
      <w:r>
        <w:rPr>
          <w:rFonts w:hint="eastAsia" w:ascii="仿宋_GB2312" w:hAnsi="Times New Roman" w:eastAsia="仿宋_GB2312" w:cs="Times New Roman"/>
          <w:color w:val="auto"/>
          <w:spacing w:val="-4"/>
          <w:sz w:val="32"/>
          <w:szCs w:val="32"/>
          <w:highlight w:val="none"/>
          <w:lang w:eastAsia="zh-CN"/>
        </w:rPr>
        <w:t>。</w:t>
      </w:r>
      <w:r>
        <w:rPr>
          <w:rFonts w:hint="eastAsia" w:ascii="仿宋_GB2312" w:hAnsi="微软雅黑" w:eastAsia="仿宋_GB2312" w:cs="仿宋_GB2312"/>
          <w:i w:val="0"/>
          <w:caps w:val="0"/>
          <w:color w:val="auto"/>
          <w:spacing w:val="0"/>
          <w:sz w:val="32"/>
          <w:szCs w:val="32"/>
          <w:lang w:val="en-US" w:eastAsia="zh-CN"/>
        </w:rPr>
        <w:t>截至11月底，匡堰镇人民政府通过不同渠道和方式主动公开政府信息485条，其中政府网站和信息公开平台公开政府信息99条，其他方式公开政府信息386条。内容涵盖工作动态、人事信息、财政信息等方面，有效保证政府信息公开的全面性和及时性。</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仿宋_GB2312" w:eastAsia="仿宋_GB2312"/>
          <w:color w:val="auto"/>
          <w:spacing w:val="-4"/>
          <w:sz w:val="32"/>
          <w:szCs w:val="32"/>
          <w:highlight w:val="none"/>
          <w:lang w:val="en-US"/>
        </w:rPr>
      </w:pPr>
      <w:r>
        <w:rPr>
          <w:rFonts w:hint="eastAsia" w:ascii="楷体_GB2312" w:hAnsi="黑体" w:eastAsia="楷体_GB2312" w:cs="宋体"/>
          <w:b/>
          <w:bCs w:val="0"/>
          <w:color w:val="auto"/>
          <w:kern w:val="0"/>
          <w:sz w:val="32"/>
          <w:szCs w:val="32"/>
        </w:rPr>
        <w:t>（二）依申请公开情况。</w:t>
      </w:r>
      <w:r>
        <w:rPr>
          <w:rFonts w:hint="eastAsia" w:ascii="仿宋_GB2312" w:hAnsi="微软雅黑" w:eastAsia="仿宋_GB2312" w:cs="仿宋_GB2312"/>
          <w:i w:val="0"/>
          <w:caps w:val="0"/>
          <w:color w:val="auto"/>
          <w:spacing w:val="0"/>
          <w:sz w:val="32"/>
          <w:szCs w:val="32"/>
          <w:lang w:eastAsia="zh-CN"/>
        </w:rPr>
        <w:t>规范开展依申请公开工作流程，</w:t>
      </w:r>
      <w:r>
        <w:rPr>
          <w:rFonts w:hint="eastAsia" w:ascii="仿宋_GB2312" w:hAnsi="Times New Roman" w:eastAsia="仿宋_GB2312" w:cs="Times New Roman"/>
          <w:color w:val="auto"/>
          <w:spacing w:val="-4"/>
          <w:sz w:val="32"/>
          <w:szCs w:val="32"/>
          <w:lang w:eastAsia="zh-CN"/>
        </w:rPr>
        <w:t>严格按照市</w:t>
      </w:r>
      <w:r>
        <w:rPr>
          <w:rFonts w:hint="eastAsia" w:ascii="仿宋_GB2312" w:hAnsi="Times New Roman" w:eastAsia="仿宋_GB2312" w:cs="Times New Roman"/>
          <w:color w:val="auto"/>
          <w:spacing w:val="-4"/>
          <w:sz w:val="32"/>
          <w:szCs w:val="32"/>
        </w:rPr>
        <w:t>依申请公开办理机制、办理流程、文书格式模板</w:t>
      </w:r>
      <w:r>
        <w:rPr>
          <w:rFonts w:hint="eastAsia" w:ascii="仿宋_GB2312" w:hAnsi="Times New Roman" w:eastAsia="仿宋_GB2312" w:cs="Times New Roman"/>
          <w:color w:val="auto"/>
          <w:spacing w:val="-4"/>
          <w:sz w:val="32"/>
          <w:szCs w:val="32"/>
          <w:lang w:eastAsia="zh-CN"/>
        </w:rPr>
        <w:t>办理依申请公开件</w:t>
      </w:r>
      <w:r>
        <w:rPr>
          <w:rFonts w:hint="eastAsia" w:ascii="仿宋_GB2312" w:hAnsi="Times New Roman" w:eastAsia="仿宋_GB2312" w:cs="Times New Roman"/>
          <w:color w:val="auto"/>
          <w:spacing w:val="-4"/>
          <w:sz w:val="32"/>
          <w:szCs w:val="32"/>
        </w:rPr>
        <w:t>。</w:t>
      </w:r>
      <w:r>
        <w:rPr>
          <w:rFonts w:hint="eastAsia" w:ascii="仿宋_GB2312" w:hAnsi="Times New Roman" w:eastAsia="仿宋_GB2312" w:cs="Times New Roman"/>
          <w:color w:val="auto"/>
          <w:spacing w:val="-4"/>
          <w:sz w:val="32"/>
          <w:szCs w:val="32"/>
          <w:highlight w:val="none"/>
          <w:lang w:eastAsia="zh-CN"/>
        </w:rPr>
        <w:t>我镇</w:t>
      </w:r>
      <w:r>
        <w:rPr>
          <w:rFonts w:hint="eastAsia" w:ascii="仿宋_GB2312" w:hAnsi="Times New Roman" w:eastAsia="仿宋_GB2312" w:cs="Times New Roman"/>
          <w:color w:val="auto"/>
          <w:spacing w:val="-4"/>
          <w:sz w:val="32"/>
          <w:szCs w:val="32"/>
          <w:highlight w:val="none"/>
          <w:lang w:val="en-US" w:eastAsia="zh-CN"/>
        </w:rPr>
        <w:t>共办结政府信息</w:t>
      </w:r>
      <w:r>
        <w:rPr>
          <w:rFonts w:hint="eastAsia" w:ascii="仿宋_GB2312" w:hAnsi="Times New Roman" w:eastAsia="仿宋_GB2312" w:cs="Times New Roman"/>
          <w:color w:val="auto"/>
          <w:spacing w:val="-4"/>
          <w:sz w:val="32"/>
          <w:szCs w:val="32"/>
          <w:highlight w:val="none"/>
          <w:lang w:eastAsia="zh-CN"/>
        </w:rPr>
        <w:t>依申请公开</w:t>
      </w:r>
      <w:r>
        <w:rPr>
          <w:rFonts w:hint="eastAsia" w:ascii="仿宋_GB2312" w:hAnsi="Times New Roman" w:eastAsia="仿宋_GB2312" w:cs="Times New Roman"/>
          <w:color w:val="auto"/>
          <w:spacing w:val="-4"/>
          <w:sz w:val="32"/>
          <w:szCs w:val="32"/>
          <w:highlight w:val="none"/>
          <w:lang w:val="en-US" w:eastAsia="zh-CN"/>
        </w:rPr>
        <w:t>件1件，已在法定期限内给予答复。</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楷体_GB2312" w:hAnsi="黑体" w:eastAsia="楷体_GB2312" w:cs="宋体"/>
          <w:b/>
          <w:bCs w:val="0"/>
          <w:color w:val="auto"/>
          <w:kern w:val="0"/>
          <w:sz w:val="32"/>
          <w:szCs w:val="32"/>
        </w:rPr>
      </w:pPr>
      <w:r>
        <w:rPr>
          <w:rFonts w:hint="eastAsia" w:ascii="楷体_GB2312" w:hAnsi="黑体" w:eastAsia="楷体_GB2312" w:cs="宋体"/>
          <w:b/>
          <w:bCs w:val="0"/>
          <w:color w:val="auto"/>
          <w:kern w:val="0"/>
          <w:sz w:val="32"/>
          <w:szCs w:val="32"/>
        </w:rPr>
        <w:t>（三）政府信息管理情况。</w:t>
      </w:r>
      <w:r>
        <w:rPr>
          <w:rFonts w:hint="eastAsia" w:ascii="仿宋_GB2312" w:hAnsi="微软雅黑" w:eastAsia="仿宋_GB2312" w:cs="仿宋_GB2312"/>
          <w:i w:val="0"/>
          <w:caps w:val="0"/>
          <w:color w:val="auto"/>
          <w:spacing w:val="0"/>
          <w:sz w:val="32"/>
          <w:szCs w:val="32"/>
        </w:rPr>
        <w:t>科学谋划全年工作任务</w:t>
      </w:r>
      <w:r>
        <w:rPr>
          <w:rFonts w:hint="eastAsia" w:ascii="仿宋_GB2312" w:hAnsi="微软雅黑" w:eastAsia="仿宋_GB2312" w:cs="仿宋_GB2312"/>
          <w:i w:val="0"/>
          <w:caps w:val="0"/>
          <w:color w:val="auto"/>
          <w:spacing w:val="0"/>
          <w:sz w:val="32"/>
          <w:szCs w:val="32"/>
          <w:lang w:eastAsia="zh-CN"/>
        </w:rPr>
        <w:t>，</w:t>
      </w:r>
      <w:r>
        <w:rPr>
          <w:rFonts w:hint="eastAsia" w:ascii="仿宋_GB2312" w:hAnsi="Times New Roman" w:eastAsia="仿宋_GB2312" w:cs="Times New Roman"/>
          <w:color w:val="auto"/>
          <w:spacing w:val="-4"/>
          <w:sz w:val="32"/>
          <w:szCs w:val="32"/>
          <w:lang w:eastAsia="zh-CN"/>
        </w:rPr>
        <w:t>形成</w:t>
      </w:r>
      <w:r>
        <w:rPr>
          <w:rFonts w:hint="eastAsia" w:ascii="仿宋_GB2312" w:hAnsi="Times New Roman" w:eastAsia="仿宋_GB2312" w:cs="Times New Roman"/>
          <w:color w:val="auto"/>
          <w:spacing w:val="-4"/>
          <w:sz w:val="32"/>
          <w:szCs w:val="32"/>
        </w:rPr>
        <w:t>主要领导亲自抓、分管领导具体抓、工作人员直接抓的“工作格局”</w:t>
      </w:r>
      <w:r>
        <w:rPr>
          <w:rFonts w:hint="eastAsia" w:ascii="仿宋_GB2312" w:hAnsi="Times New Roman" w:eastAsia="仿宋_GB2312" w:cs="Times New Roman"/>
          <w:color w:val="auto"/>
          <w:spacing w:val="-4"/>
          <w:sz w:val="32"/>
          <w:szCs w:val="32"/>
          <w:lang w:eastAsia="zh-CN"/>
        </w:rPr>
        <w:t>，</w:t>
      </w:r>
      <w:r>
        <w:rPr>
          <w:rFonts w:hint="eastAsia" w:ascii="仿宋_GB2312" w:hAnsi="Times New Roman" w:eastAsia="仿宋_GB2312" w:cs="Times New Roman"/>
          <w:color w:val="auto"/>
          <w:spacing w:val="-4"/>
          <w:sz w:val="32"/>
          <w:szCs w:val="32"/>
        </w:rPr>
        <w:t>对照政务公开工作要点任务分解表逐项进行梳理和完善，不断增加主动公开的内容</w:t>
      </w:r>
      <w:r>
        <w:rPr>
          <w:rFonts w:hint="eastAsia" w:ascii="仿宋_GB2312" w:hAnsi="Times New Roman" w:eastAsia="仿宋_GB2312" w:cs="Times New Roman"/>
          <w:color w:val="auto"/>
          <w:spacing w:val="-4"/>
          <w:sz w:val="32"/>
          <w:szCs w:val="32"/>
          <w:lang w:eastAsia="zh-CN"/>
        </w:rPr>
        <w:t>覆盖面</w:t>
      </w:r>
      <w:r>
        <w:rPr>
          <w:rFonts w:hint="eastAsia" w:ascii="仿宋_GB2312" w:hAnsi="微软雅黑" w:eastAsia="仿宋_GB2312" w:cs="仿宋_GB2312"/>
          <w:i w:val="0"/>
          <w:caps w:val="0"/>
          <w:color w:val="auto"/>
          <w:spacing w:val="0"/>
          <w:sz w:val="32"/>
          <w:szCs w:val="32"/>
          <w:lang w:eastAsia="zh-CN"/>
        </w:rPr>
        <w:t>。</w:t>
      </w:r>
      <w:r>
        <w:rPr>
          <w:rFonts w:hint="eastAsia" w:ascii="仿宋_GB2312" w:eastAsia="仿宋_GB2312"/>
          <w:color w:val="auto"/>
          <w:sz w:val="32"/>
          <w:szCs w:val="32"/>
          <w:lang w:val="en-US" w:eastAsia="zh-CN"/>
        </w:rPr>
        <w:t>完善</w:t>
      </w:r>
      <w:r>
        <w:rPr>
          <w:rFonts w:hint="eastAsia" w:ascii="仿宋_GB2312" w:eastAsia="仿宋_GB2312"/>
          <w:color w:val="auto"/>
          <w:sz w:val="32"/>
          <w:szCs w:val="32"/>
        </w:rPr>
        <w:t>政府信息发布审核</w:t>
      </w:r>
      <w:r>
        <w:rPr>
          <w:rFonts w:hint="eastAsia" w:ascii="仿宋_GB2312" w:eastAsia="仿宋_GB2312"/>
          <w:color w:val="auto"/>
          <w:sz w:val="32"/>
          <w:szCs w:val="32"/>
          <w:lang w:val="en-US" w:eastAsia="zh-CN"/>
        </w:rPr>
        <w:t>机制</w:t>
      </w:r>
      <w:r>
        <w:rPr>
          <w:rFonts w:hint="eastAsia" w:ascii="仿宋_GB2312" w:hAnsi="Times New Roman" w:eastAsia="仿宋_GB2312" w:cs="Times New Roman"/>
          <w:color w:val="auto"/>
          <w:spacing w:val="-4"/>
          <w:sz w:val="32"/>
          <w:szCs w:val="32"/>
          <w:lang w:eastAsia="zh-CN"/>
        </w:rPr>
        <w:t>，</w:t>
      </w:r>
      <w:r>
        <w:rPr>
          <w:rFonts w:hint="eastAsia" w:ascii="仿宋_GB2312" w:hAnsi="Times New Roman" w:eastAsia="仿宋_GB2312" w:cs="Times New Roman"/>
          <w:color w:val="auto"/>
          <w:spacing w:val="-4"/>
          <w:sz w:val="32"/>
          <w:szCs w:val="32"/>
          <w:lang w:val="en-US" w:eastAsia="zh-CN"/>
        </w:rPr>
        <w:t>同时</w:t>
      </w:r>
      <w:r>
        <w:rPr>
          <w:rFonts w:hint="eastAsia" w:ascii="仿宋_GB2312" w:hAnsi="Times New Roman" w:eastAsia="仿宋_GB2312" w:cs="Times New Roman"/>
          <w:color w:val="auto"/>
          <w:spacing w:val="-4"/>
          <w:sz w:val="32"/>
          <w:szCs w:val="32"/>
          <w:lang w:eastAsia="zh-CN"/>
        </w:rPr>
        <w:t>对</w:t>
      </w:r>
      <w:r>
        <w:rPr>
          <w:rFonts w:hint="eastAsia" w:ascii="仿宋_GB2312" w:hAnsi="宋体" w:eastAsia="仿宋_GB2312"/>
          <w:color w:val="auto"/>
          <w:sz w:val="32"/>
          <w:szCs w:val="32"/>
        </w:rPr>
        <w:t>已发布信息</w:t>
      </w:r>
      <w:r>
        <w:rPr>
          <w:rFonts w:hint="eastAsia" w:ascii="仿宋_GB2312" w:hAnsi="宋体" w:eastAsia="仿宋_GB2312"/>
          <w:color w:val="auto"/>
          <w:sz w:val="32"/>
          <w:szCs w:val="32"/>
          <w:lang w:eastAsia="zh-CN"/>
        </w:rPr>
        <w:t>做好“</w:t>
      </w:r>
      <w:r>
        <w:rPr>
          <w:rFonts w:hint="eastAsia" w:ascii="仿宋_GB2312" w:hAnsi="宋体" w:eastAsia="仿宋_GB2312"/>
          <w:color w:val="auto"/>
          <w:sz w:val="32"/>
          <w:szCs w:val="32"/>
          <w:lang w:val="en-US" w:eastAsia="zh-CN"/>
        </w:rPr>
        <w:t>回头看”</w:t>
      </w:r>
      <w:r>
        <w:rPr>
          <w:rFonts w:hint="eastAsia" w:ascii="仿宋_GB2312" w:hAnsi="宋体"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黑体" w:eastAsia="仿宋_GB2312" w:cs="仿宋_GB2312"/>
          <w:color w:val="auto"/>
          <w:spacing w:val="-4"/>
          <w:sz w:val="32"/>
          <w:szCs w:val="32"/>
          <w:highlight w:val="none"/>
        </w:rPr>
      </w:pPr>
      <w:r>
        <w:rPr>
          <w:rFonts w:hint="eastAsia" w:ascii="楷体_GB2312" w:hAnsi="黑体" w:eastAsia="楷体_GB2312" w:cs="宋体"/>
          <w:b/>
          <w:bCs w:val="0"/>
          <w:color w:val="auto"/>
          <w:kern w:val="0"/>
          <w:sz w:val="32"/>
          <w:szCs w:val="32"/>
        </w:rPr>
        <w:t>（四）平台建设情况。</w:t>
      </w:r>
      <w:r>
        <w:rPr>
          <w:rFonts w:hint="eastAsia" w:ascii="仿宋_GB2312" w:hAnsi="仿宋_GB2312" w:eastAsia="仿宋_GB2312" w:cs="仿宋_GB2312"/>
          <w:color w:val="auto"/>
          <w:sz w:val="32"/>
          <w:szCs w:val="32"/>
        </w:rPr>
        <w:t>严格执行“公开是常态,不公开为例外”的要求，做到涉及本机关职能工作的可公开政府信息全部公开，完善政府信息公开的保密审查规定，减少差错率，保证</w:t>
      </w:r>
      <w:r>
        <w:rPr>
          <w:rFonts w:hint="eastAsia" w:ascii="仿宋_GB2312" w:hAnsi="仿宋_GB2312" w:eastAsia="仿宋_GB2312" w:cs="仿宋_GB2312"/>
          <w:color w:val="auto"/>
          <w:sz w:val="32"/>
          <w:szCs w:val="32"/>
          <w:lang w:val="en-US" w:eastAsia="zh-CN"/>
        </w:rPr>
        <w:t>及时高效公开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充分保障人民群众的知情权、监督权、参与权。根据</w:t>
      </w:r>
      <w:r>
        <w:rPr>
          <w:rFonts w:hint="eastAsia" w:ascii="仿宋_GB2312" w:hAnsi="仿宋_GB2312" w:eastAsia="仿宋_GB2312" w:cs="仿宋_GB2312"/>
          <w:color w:val="auto"/>
          <w:sz w:val="32"/>
          <w:szCs w:val="32"/>
          <w:lang w:val="en-US" w:eastAsia="zh-CN"/>
        </w:rPr>
        <w:t>慈溪市</w:t>
      </w:r>
      <w:r>
        <w:rPr>
          <w:rFonts w:hint="eastAsia" w:ascii="仿宋_GB2312" w:hAnsi="仿宋_GB2312" w:eastAsia="仿宋_GB2312" w:cs="仿宋_GB2312"/>
          <w:color w:val="auto"/>
          <w:sz w:val="32"/>
          <w:szCs w:val="32"/>
        </w:rPr>
        <w:t>政府办公室的统一要求，加强政府信息公开做到公开信息及时完整、分类准确、格式规范</w:t>
      </w:r>
      <w:r>
        <w:rPr>
          <w:rFonts w:hint="eastAsia" w:ascii="仿宋_GB2312" w:hAnsi="仿宋_GB2312" w:eastAsia="仿宋_GB2312" w:cs="仿宋_GB2312"/>
          <w:color w:val="auto"/>
          <w:sz w:val="32"/>
          <w:szCs w:val="32"/>
          <w:lang w:eastAsia="zh-CN"/>
        </w:rPr>
        <w:t>。</w:t>
      </w:r>
      <w:r>
        <w:rPr>
          <w:rFonts w:hint="eastAsia" w:ascii="仿宋_GB2312" w:hAnsi="黑体" w:eastAsia="仿宋_GB2312" w:cs="仿宋_GB2312"/>
          <w:color w:val="auto"/>
          <w:spacing w:val="-4"/>
          <w:sz w:val="32"/>
          <w:szCs w:val="32"/>
          <w:lang w:val="en-US" w:eastAsia="zh-CN"/>
        </w:rPr>
        <w:t>持续做好</w:t>
      </w:r>
      <w:r>
        <w:rPr>
          <w:rFonts w:hint="eastAsia" w:ascii="仿宋_GB2312" w:hAnsi="黑体" w:eastAsia="仿宋_GB2312" w:cs="仿宋_GB2312"/>
          <w:color w:val="auto"/>
          <w:spacing w:val="-4"/>
          <w:sz w:val="32"/>
          <w:szCs w:val="32"/>
          <w:lang w:eastAsia="zh-CN"/>
        </w:rPr>
        <w:t>“</w:t>
      </w:r>
      <w:r>
        <w:rPr>
          <w:rFonts w:hint="eastAsia" w:ascii="仿宋_GB2312" w:hAnsi="黑体" w:eastAsia="仿宋_GB2312" w:cs="仿宋_GB2312"/>
          <w:color w:val="auto"/>
          <w:spacing w:val="-4"/>
          <w:sz w:val="32"/>
          <w:szCs w:val="32"/>
          <w:lang w:val="en-US" w:eastAsia="zh-CN"/>
        </w:rPr>
        <w:t>慈晓”App</w:t>
      </w:r>
      <w:r>
        <w:rPr>
          <w:rFonts w:hint="eastAsia" w:ascii="仿宋_GB2312" w:hAnsi="黑体" w:eastAsia="仿宋_GB2312" w:cs="仿宋_GB2312"/>
          <w:color w:val="auto"/>
          <w:spacing w:val="-4"/>
          <w:sz w:val="32"/>
          <w:szCs w:val="32"/>
          <w:lang w:eastAsia="zh-CN"/>
        </w:rPr>
        <w:t>“</w:t>
      </w:r>
      <w:r>
        <w:rPr>
          <w:rFonts w:hint="eastAsia" w:ascii="仿宋_GB2312" w:hAnsi="黑体" w:eastAsia="仿宋_GB2312" w:cs="仿宋_GB2312"/>
          <w:color w:val="auto"/>
          <w:spacing w:val="-4"/>
          <w:sz w:val="32"/>
          <w:szCs w:val="32"/>
          <w:lang w:val="en-US" w:eastAsia="zh-CN"/>
        </w:rPr>
        <w:t>乐活匡堰”本地号</w:t>
      </w:r>
      <w:r>
        <w:rPr>
          <w:rFonts w:hint="eastAsia" w:ascii="仿宋_GB2312" w:hAnsi="黑体" w:eastAsia="仿宋_GB2312" w:cs="仿宋_GB2312"/>
          <w:color w:val="auto"/>
          <w:spacing w:val="-4"/>
          <w:sz w:val="32"/>
          <w:szCs w:val="32"/>
        </w:rPr>
        <w:t>更新发布，</w:t>
      </w:r>
      <w:r>
        <w:rPr>
          <w:rFonts w:hint="eastAsia" w:ascii="仿宋_GB2312" w:hAnsi="仿宋_GB2312" w:eastAsia="仿宋_GB2312" w:cs="仿宋_GB2312"/>
          <w:color w:val="auto"/>
          <w:sz w:val="32"/>
          <w:szCs w:val="32"/>
          <w:lang w:val="en-US" w:eastAsia="zh-CN"/>
        </w:rPr>
        <w:t>做到管理规范、内容丰富。</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微软雅黑" w:eastAsia="仿宋_GB2312" w:cs="仿宋_GB2312"/>
          <w:i w:val="0"/>
          <w:caps w:val="0"/>
          <w:color w:val="auto"/>
          <w:spacing w:val="0"/>
          <w:sz w:val="32"/>
          <w:szCs w:val="32"/>
          <w:lang w:val="en-US" w:eastAsia="zh-CN"/>
        </w:rPr>
      </w:pPr>
      <w:r>
        <w:rPr>
          <w:rFonts w:hint="eastAsia" w:ascii="楷体_GB2312" w:hAnsi="黑体" w:eastAsia="楷体_GB2312" w:cs="宋体"/>
          <w:b/>
          <w:bCs w:val="0"/>
          <w:color w:val="auto"/>
          <w:kern w:val="0"/>
          <w:sz w:val="32"/>
          <w:szCs w:val="32"/>
        </w:rPr>
        <w:t>（五）监督保障情况。</w:t>
      </w:r>
      <w:r>
        <w:rPr>
          <w:rFonts w:hint="eastAsia" w:ascii="仿宋_GB2312" w:hAnsi="黑体" w:eastAsia="仿宋_GB2312" w:cs="仿宋_GB2312"/>
          <w:color w:val="auto"/>
          <w:spacing w:val="-4"/>
          <w:sz w:val="32"/>
          <w:szCs w:val="32"/>
          <w:lang w:val="en-US" w:eastAsia="zh-CN"/>
        </w:rPr>
        <w:t>在市政府的统筹指导下，积极参加政府信息公开工作培训。接受第三方机构强化网站政府信息公开平台建设专项检查和日常监测，提高公开平台运维质量。及时做好日常信息发布的自查整改，针对发现的问题及时纠正，进一步做好政府信息公开工作。</w:t>
      </w:r>
      <w:r>
        <w:rPr>
          <w:rFonts w:hint="eastAsia" w:ascii="仿宋_GB2312" w:hAnsi="Times New Roman" w:eastAsia="仿宋_GB2312" w:cs="Times New Roman"/>
          <w:color w:val="auto"/>
          <w:spacing w:val="-4"/>
          <w:sz w:val="32"/>
          <w:szCs w:val="32"/>
          <w:highlight w:val="none"/>
        </w:rPr>
        <w:t>综合利用村微信群、信息公示栏、</w:t>
      </w:r>
      <w:r>
        <w:rPr>
          <w:rFonts w:hint="eastAsia" w:ascii="仿宋_GB2312" w:hAnsi="Times New Roman" w:eastAsia="仿宋_GB2312" w:cs="Times New Roman"/>
          <w:color w:val="auto"/>
          <w:spacing w:val="-4"/>
          <w:sz w:val="32"/>
          <w:szCs w:val="32"/>
          <w:highlight w:val="none"/>
          <w:lang w:val="en-US" w:eastAsia="zh-CN"/>
        </w:rPr>
        <w:t>LED屏</w:t>
      </w:r>
      <w:r>
        <w:rPr>
          <w:rFonts w:hint="eastAsia" w:ascii="仿宋_GB2312" w:hAnsi="Times New Roman" w:eastAsia="仿宋_GB2312" w:cs="Times New Roman"/>
          <w:color w:val="auto"/>
          <w:spacing w:val="-4"/>
          <w:sz w:val="32"/>
          <w:szCs w:val="32"/>
          <w:highlight w:val="none"/>
        </w:rPr>
        <w:t>等媒介和渠道发布政府信息，方便群众及时知晓和监督</w:t>
      </w:r>
      <w:r>
        <w:rPr>
          <w:rFonts w:hint="eastAsia" w:ascii="仿宋_GB2312" w:hAnsi="Times New Roman" w:eastAsia="仿宋_GB2312" w:cs="Times New Roman"/>
          <w:color w:val="auto"/>
          <w:spacing w:val="-4"/>
          <w:sz w:val="32"/>
          <w:szCs w:val="32"/>
          <w:highlight w:val="none"/>
          <w:lang w:eastAsia="zh-CN"/>
        </w:rPr>
        <w:t>。积极参加全市统一的政务公开社会评议并定期按规定发布责任追究情况。</w:t>
      </w:r>
      <w:bookmarkStart w:id="0" w:name="_GoBack"/>
      <w:bookmarkEnd w:id="0"/>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二、主动公开政府信息情况</w:t>
      </w:r>
    </w:p>
    <w:tbl>
      <w:tblPr>
        <w:tblStyle w:val="3"/>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本年废止件数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highlight w:val="yellow"/>
                <w:lang w:val="en-US" w:eastAsia="zh-CN"/>
              </w:rPr>
            </w:pPr>
            <w:r>
              <w:rPr>
                <w:rFonts w:hint="eastAsia" w:ascii="??_GB2312" w:hAnsi="??_GB2312" w:eastAsia="宋体"/>
                <w:color w:val="auto"/>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三、收到和处理政府信息公开申请情况</w:t>
      </w:r>
    </w:p>
    <w:tbl>
      <w:tblPr>
        <w:tblStyle w:val="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color w:val="auto"/>
                <w:sz w:val="18"/>
                <w:szCs w:val="18"/>
              </w:rPr>
            </w:pPr>
            <w:r>
              <w:rPr>
                <w:rFonts w:hint="eastAsia" w:ascii="宋体" w:hAnsi="宋体" w:eastAsia="仿宋_GB2312" w:cs="宋体"/>
                <w:color w:val="auto"/>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color w:val="auto"/>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自</w:t>
            </w:r>
          </w:p>
          <w:p>
            <w:pPr>
              <w:spacing w:line="40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然</w:t>
            </w:r>
          </w:p>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人</w:t>
            </w:r>
          </w:p>
        </w:tc>
        <w:tc>
          <w:tcPr>
            <w:tcW w:w="3742"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总</w:t>
            </w:r>
          </w:p>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color w:val="auto"/>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color w:val="auto"/>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社会</w:t>
            </w:r>
          </w:p>
          <w:p>
            <w:pPr>
              <w:spacing w:line="40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公益</w:t>
            </w:r>
          </w:p>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法律服务机构</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eastAsia="仿宋_GB2312" w:cs="宋体"/>
                <w:color w:val="auto"/>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1</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eastAsia="仿宋_GB2312" w:cs="宋体"/>
                <w:color w:val="auto"/>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eastAsia="仿宋_GB2312" w:cs="宋体"/>
                <w:color w:val="auto"/>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eastAsia="仿宋_GB2312" w:cs="宋体"/>
                <w:color w:val="auto"/>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color w:val="auto"/>
                <w:sz w:val="24"/>
                <w:szCs w:val="24"/>
                <w:lang w:val="en-US" w:eastAsia="zh-CN"/>
              </w:rPr>
              <w:t>1</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color w:val="auto"/>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eastAsia="仿宋_GB2312" w:cs="宋体"/>
                <w:color w:val="auto"/>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（三）</w:t>
            </w:r>
          </w:p>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不予</w:t>
            </w:r>
          </w:p>
          <w:p>
            <w:pPr>
              <w:spacing w:line="40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1.</w:t>
            </w:r>
            <w:r>
              <w:rPr>
                <w:rFonts w:hint="eastAsia" w:ascii="仿宋_GB2312" w:hAnsi="宋体" w:eastAsia="仿宋_GB2312" w:cs="宋体"/>
                <w:color w:val="auto"/>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2.</w:t>
            </w:r>
            <w:r>
              <w:rPr>
                <w:rFonts w:hint="eastAsia" w:ascii="仿宋_GB2312" w:hAnsi="宋体" w:eastAsia="仿宋_GB2312" w:cs="宋体"/>
                <w:color w:val="auto"/>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3.</w:t>
            </w:r>
            <w:r>
              <w:rPr>
                <w:rFonts w:hint="eastAsia" w:ascii="仿宋_GB2312" w:hAnsi="宋体" w:eastAsia="仿宋_GB2312" w:cs="宋体"/>
                <w:color w:val="auto"/>
                <w:sz w:val="24"/>
                <w:szCs w:val="24"/>
              </w:rPr>
              <w:t>危及</w:t>
            </w:r>
            <w:r>
              <w:rPr>
                <w:rFonts w:hint="eastAsia" w:ascii="仿宋_GB2312" w:hAnsi="??_GB2312" w:eastAsia="仿宋_GB2312" w:cs="??_GB2312"/>
                <w:color w:val="auto"/>
                <w:sz w:val="24"/>
                <w:szCs w:val="24"/>
              </w:rPr>
              <w:t>“</w:t>
            </w:r>
            <w:r>
              <w:rPr>
                <w:rFonts w:hint="eastAsia" w:ascii="仿宋_GB2312" w:hAnsi="宋体" w:eastAsia="仿宋_GB2312" w:cs="宋体"/>
                <w:color w:val="auto"/>
                <w:sz w:val="24"/>
                <w:szCs w:val="24"/>
              </w:rPr>
              <w:t>三安全一稳定</w:t>
            </w:r>
            <w:r>
              <w:rPr>
                <w:rFonts w:hint="eastAsia" w:ascii="仿宋_GB2312" w:hAnsi="??_GB2312" w:eastAsia="仿宋_GB2312" w:cs="??_GB2312"/>
                <w:color w:val="auto"/>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4.</w:t>
            </w:r>
            <w:r>
              <w:rPr>
                <w:rFonts w:hint="eastAsia" w:ascii="仿宋_GB2312" w:hAnsi="宋体" w:eastAsia="仿宋_GB2312" w:cs="宋体"/>
                <w:color w:val="auto"/>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5.</w:t>
            </w:r>
            <w:r>
              <w:rPr>
                <w:rFonts w:hint="eastAsia" w:ascii="仿宋_GB2312" w:hAnsi="宋体" w:eastAsia="仿宋_GB2312" w:cs="宋体"/>
                <w:color w:val="auto"/>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6.</w:t>
            </w:r>
            <w:r>
              <w:rPr>
                <w:rFonts w:hint="eastAsia" w:ascii="仿宋_GB2312" w:hAnsi="宋体" w:eastAsia="仿宋_GB2312" w:cs="宋体"/>
                <w:color w:val="auto"/>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7.</w:t>
            </w:r>
            <w:r>
              <w:rPr>
                <w:rFonts w:hint="eastAsia" w:ascii="仿宋_GB2312" w:hAnsi="宋体" w:eastAsia="仿宋_GB2312" w:cs="宋体"/>
                <w:color w:val="auto"/>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8.</w:t>
            </w:r>
            <w:r>
              <w:rPr>
                <w:rFonts w:hint="eastAsia" w:ascii="仿宋_GB2312" w:hAnsi="宋体" w:eastAsia="仿宋_GB2312" w:cs="宋体"/>
                <w:color w:val="auto"/>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（四）</w:t>
            </w:r>
          </w:p>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无法</w:t>
            </w:r>
          </w:p>
          <w:p>
            <w:pPr>
              <w:spacing w:line="42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1.</w:t>
            </w:r>
            <w:r>
              <w:rPr>
                <w:rFonts w:hint="eastAsia" w:ascii="仿宋_GB2312" w:hAnsi="宋体" w:eastAsia="仿宋_GB2312" w:cs="宋体"/>
                <w:color w:val="auto"/>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2.</w:t>
            </w:r>
            <w:r>
              <w:rPr>
                <w:rFonts w:hint="eastAsia" w:ascii="仿宋_GB2312" w:hAnsi="宋体" w:eastAsia="仿宋_GB2312" w:cs="宋体"/>
                <w:color w:val="auto"/>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3.</w:t>
            </w:r>
            <w:r>
              <w:rPr>
                <w:rFonts w:hint="eastAsia" w:ascii="仿宋_GB2312" w:hAnsi="宋体" w:eastAsia="仿宋_GB2312" w:cs="宋体"/>
                <w:color w:val="auto"/>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（五）</w:t>
            </w:r>
          </w:p>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不予</w:t>
            </w:r>
          </w:p>
          <w:p>
            <w:pPr>
              <w:spacing w:line="42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1.</w:t>
            </w:r>
            <w:r>
              <w:rPr>
                <w:rFonts w:hint="eastAsia" w:ascii="仿宋_GB2312" w:hAnsi="宋体" w:eastAsia="仿宋_GB2312" w:cs="宋体"/>
                <w:color w:val="auto"/>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2.</w:t>
            </w:r>
            <w:r>
              <w:rPr>
                <w:rFonts w:hint="eastAsia" w:ascii="仿宋_GB2312" w:hAnsi="宋体" w:eastAsia="仿宋_GB2312" w:cs="宋体"/>
                <w:color w:val="auto"/>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3.</w:t>
            </w:r>
            <w:r>
              <w:rPr>
                <w:rFonts w:hint="eastAsia" w:ascii="仿宋_GB2312" w:hAnsi="宋体" w:eastAsia="仿宋_GB2312" w:cs="宋体"/>
                <w:color w:val="auto"/>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4.</w:t>
            </w:r>
            <w:r>
              <w:rPr>
                <w:rFonts w:hint="eastAsia" w:ascii="仿宋_GB2312" w:hAnsi="宋体" w:eastAsia="仿宋_GB2312" w:cs="宋体"/>
                <w:color w:val="auto"/>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olor w:val="auto"/>
                <w:sz w:val="24"/>
                <w:szCs w:val="24"/>
              </w:rPr>
            </w:pPr>
            <w:r>
              <w:rPr>
                <w:rFonts w:hint="eastAsia" w:ascii="仿宋_GB2312" w:hAnsi="??_GB2312" w:eastAsia="仿宋_GB2312" w:cs="??_GB2312"/>
                <w:color w:val="auto"/>
                <w:sz w:val="24"/>
                <w:szCs w:val="24"/>
              </w:rPr>
              <w:t>5.</w:t>
            </w:r>
            <w:r>
              <w:rPr>
                <w:rFonts w:hint="eastAsia" w:ascii="仿宋_GB2312" w:hAnsi="宋体" w:eastAsia="仿宋_GB2312" w:cs="宋体"/>
                <w:color w:val="auto"/>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（六）</w:t>
            </w:r>
          </w:p>
          <w:p>
            <w:pPr>
              <w:spacing w:line="42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其他</w:t>
            </w:r>
          </w:p>
          <w:p>
            <w:pPr>
              <w:spacing w:line="420" w:lineRule="exact"/>
              <w:jc w:val="center"/>
              <w:rPr>
                <w:rFonts w:ascii="??_GB2312" w:hAnsi="??_GB2312" w:eastAsia="Times New Roman"/>
                <w:color w:val="auto"/>
                <w:sz w:val="24"/>
                <w:szCs w:val="24"/>
              </w:rPr>
            </w:pPr>
            <w:r>
              <w:rPr>
                <w:rFonts w:hint="eastAsia" w:ascii="宋体" w:hAnsi="宋体" w:eastAsia="仿宋_GB2312" w:cs="宋体"/>
                <w:color w:val="auto"/>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color w:val="auto"/>
                <w:sz w:val="24"/>
                <w:szCs w:val="24"/>
              </w:rPr>
            </w:pPr>
            <w:r>
              <w:rPr>
                <w:rFonts w:hint="eastAsia" w:ascii="仿宋_GB2312" w:hAnsi="??_GB2312" w:eastAsia="仿宋_GB2312" w:cs="??_GB2312"/>
                <w:color w:val="auto"/>
                <w:sz w:val="24"/>
                <w:szCs w:val="24"/>
              </w:rPr>
              <w:t>1.</w:t>
            </w:r>
            <w:r>
              <w:rPr>
                <w:rFonts w:hint="eastAsia" w:ascii="仿宋_GB2312" w:hAnsi="宋体" w:eastAsia="仿宋_GB2312" w:cs="宋体"/>
                <w:color w:val="auto"/>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color w:val="auto"/>
                <w:sz w:val="24"/>
                <w:szCs w:val="24"/>
              </w:rPr>
            </w:pPr>
            <w:r>
              <w:rPr>
                <w:rFonts w:hint="eastAsia" w:ascii="仿宋_GB2312" w:hAnsi="??_GB2312" w:eastAsia="仿宋_GB2312" w:cs="??_GB2312"/>
                <w:color w:val="auto"/>
                <w:sz w:val="24"/>
                <w:szCs w:val="24"/>
              </w:rPr>
              <w:t>2.</w:t>
            </w:r>
            <w:r>
              <w:rPr>
                <w:rFonts w:hint="eastAsia" w:ascii="仿宋_GB2312" w:hAnsi="宋体" w:eastAsia="仿宋_GB2312" w:cs="宋体"/>
                <w:color w:val="auto"/>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color w:val="auto"/>
                <w:sz w:val="24"/>
                <w:szCs w:val="24"/>
              </w:rPr>
            </w:pPr>
            <w:r>
              <w:rPr>
                <w:rFonts w:hint="eastAsia" w:ascii="仿宋_GB2312" w:hAnsi="??_GB2312" w:eastAsia="仿宋_GB2312" w:cs="??_GB2312"/>
                <w:color w:val="auto"/>
                <w:sz w:val="24"/>
                <w:szCs w:val="24"/>
              </w:rPr>
              <w:t>3.</w:t>
            </w:r>
            <w:r>
              <w:rPr>
                <w:rFonts w:hint="eastAsia" w:ascii="仿宋_GB2312" w:hAnsi="宋体" w:eastAsia="仿宋_GB2312" w:cs="宋体"/>
                <w:color w:val="auto"/>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r>
              <w:rPr>
                <w:rFonts w:hint="eastAsia" w:ascii="宋体" w:hAnsi="宋体" w:eastAsia="仿宋_GB2312" w:cs="宋体"/>
                <w:color w:val="auto"/>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color w:val="auto"/>
                <w:sz w:val="24"/>
                <w:szCs w:val="24"/>
                <w:lang w:val="en-US" w:eastAsia="zh-CN"/>
              </w:rPr>
              <w:t>1</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color w:val="auto"/>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olor w:val="auto"/>
                <w:sz w:val="24"/>
                <w:szCs w:val="24"/>
              </w:rPr>
            </w:pPr>
            <w:r>
              <w:rPr>
                <w:rFonts w:hint="eastAsia" w:ascii="宋体" w:hAnsi="宋体" w:eastAsia="仿宋_GB2312" w:cs="宋体"/>
                <w:color w:val="auto"/>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kern w:val="2"/>
                <w:sz w:val="24"/>
                <w:szCs w:val="24"/>
                <w:lang w:val="en-US" w:eastAsia="zh-CN" w:bidi="ar-SA"/>
              </w:rPr>
            </w:pPr>
            <w:r>
              <w:rPr>
                <w:rFonts w:hint="eastAsia" w:ascii="??_GB2312" w:hAnsi="??_GB2312" w:eastAsia="宋体"/>
                <w:color w:val="auto"/>
                <w:sz w:val="24"/>
                <w:szCs w:val="24"/>
                <w:lang w:val="en-US" w:eastAsia="zh-CN"/>
              </w:rPr>
              <w:t>0</w:t>
            </w:r>
          </w:p>
        </w:tc>
      </w:tr>
    </w:tbl>
    <w:p>
      <w:pPr>
        <w:spacing w:line="560" w:lineRule="exact"/>
        <w:ind w:firstLine="640" w:firstLineChars="200"/>
        <w:rPr>
          <w:rFonts w:ascii="黑体" w:hAnsi="黑体" w:eastAsia="黑体" w:cs="??_GB2312"/>
          <w:bCs/>
          <w:color w:val="auto"/>
          <w:sz w:val="32"/>
          <w:szCs w:val="32"/>
        </w:rPr>
      </w:pPr>
      <w:r>
        <w:rPr>
          <w:rFonts w:hint="eastAsia" w:ascii="黑体" w:hAnsi="黑体" w:eastAsia="黑体" w:cs="宋体"/>
          <w:bCs/>
          <w:color w:val="auto"/>
          <w:sz w:val="32"/>
          <w:szCs w:val="32"/>
        </w:rPr>
        <w:t>四、政府信息公开行政复议、行政诉讼情况</w:t>
      </w:r>
    </w:p>
    <w:tbl>
      <w:tblPr>
        <w:tblStyle w:val="3"/>
        <w:tblW w:w="9359"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65" w:hRule="atLeast"/>
        </w:trPr>
        <w:tc>
          <w:tcPr>
            <w:tcW w:w="33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color w:val="auto"/>
                <w:sz w:val="24"/>
                <w:szCs w:val="24"/>
              </w:rPr>
            </w:pPr>
            <w:r>
              <w:rPr>
                <w:rFonts w:hint="eastAsia" w:ascii="黑体" w:hAnsi="黑体" w:eastAsia="黑体" w:cs="黑体"/>
                <w:color w:val="auto"/>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color w:val="auto"/>
                <w:sz w:val="24"/>
                <w:szCs w:val="24"/>
              </w:rPr>
            </w:pPr>
            <w:r>
              <w:rPr>
                <w:rFonts w:hint="eastAsia" w:ascii="黑体" w:hAnsi="黑体" w:eastAsia="黑体" w:cs="黑体"/>
                <w:color w:val="auto"/>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trPr>
        <w:tc>
          <w:tcPr>
            <w:tcW w:w="7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结</w:t>
            </w:r>
          </w:p>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果</w:t>
            </w:r>
          </w:p>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维</w:t>
            </w:r>
          </w:p>
          <w:p>
            <w:pPr>
              <w:spacing w:line="400" w:lineRule="exact"/>
              <w:jc w:val="center"/>
              <w:rPr>
                <w:rFonts w:ascii="宋体" w:hAnsi="宋体" w:eastAsia="仿宋_GB2312" w:cs="宋体"/>
                <w:color w:val="auto"/>
                <w:sz w:val="24"/>
                <w:szCs w:val="24"/>
              </w:rPr>
            </w:pPr>
            <w:r>
              <w:rPr>
                <w:rFonts w:hint="eastAsia" w:ascii="宋体" w:hAnsi="宋体" w:eastAsia="仿宋_GB2312" w:cs="宋体"/>
                <w:color w:val="auto"/>
                <w:sz w:val="24"/>
                <w:szCs w:val="24"/>
              </w:rPr>
              <w:t>持</w:t>
            </w:r>
          </w:p>
        </w:tc>
        <w:tc>
          <w:tcPr>
            <w:tcW w:w="730"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结</w:t>
            </w:r>
          </w:p>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果</w:t>
            </w:r>
          </w:p>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纠</w:t>
            </w:r>
          </w:p>
          <w:p>
            <w:pPr>
              <w:spacing w:line="400" w:lineRule="exact"/>
              <w:jc w:val="center"/>
              <w:rPr>
                <w:rFonts w:ascii="宋体" w:hAnsi="宋体" w:eastAsia="仿宋_GB2312" w:cs="宋体"/>
                <w:color w:val="auto"/>
                <w:sz w:val="24"/>
                <w:szCs w:val="24"/>
              </w:rPr>
            </w:pPr>
            <w:r>
              <w:rPr>
                <w:rFonts w:hint="eastAsia" w:ascii="宋体" w:hAnsi="宋体" w:eastAsia="仿宋_GB2312" w:cs="宋体"/>
                <w:color w:val="auto"/>
                <w:sz w:val="24"/>
                <w:szCs w:val="24"/>
              </w:rPr>
              <w:t>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color w:val="auto"/>
                <w:sz w:val="24"/>
                <w:szCs w:val="24"/>
              </w:rPr>
            </w:pPr>
            <w:r>
              <w:rPr>
                <w:rFonts w:hint="eastAsia" w:ascii="宋体" w:hAnsi="宋体" w:eastAsia="仿宋_GB2312" w:cs="宋体"/>
                <w:color w:val="auto"/>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color w:val="auto"/>
                <w:sz w:val="24"/>
                <w:szCs w:val="24"/>
              </w:rPr>
            </w:pPr>
            <w:r>
              <w:rPr>
                <w:rFonts w:hint="eastAsia" w:ascii="宋体" w:hAnsi="宋体" w:eastAsia="仿宋_GB2312" w:cs="宋体"/>
                <w:color w:val="auto"/>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trPr>
        <w:tc>
          <w:tcPr>
            <w:tcW w:w="7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730"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尚未审结</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color w:val="auto"/>
                <w:sz w:val="24"/>
                <w:szCs w:val="24"/>
              </w:rPr>
            </w:pPr>
            <w:r>
              <w:rPr>
                <w:rFonts w:hint="eastAsia" w:ascii="宋体" w:hAnsi="宋体" w:eastAsia="仿宋_GB2312" w:cs="宋体"/>
                <w:color w:val="auto"/>
                <w:sz w:val="24"/>
                <w:szCs w:val="24"/>
              </w:rPr>
              <w:t>总</w:t>
            </w:r>
          </w:p>
          <w:p>
            <w:pPr>
              <w:spacing w:line="400" w:lineRule="exact"/>
              <w:jc w:val="center"/>
              <w:rPr>
                <w:rFonts w:ascii="??_GB2312" w:hAnsi="??_GB2312" w:eastAsia="Times New Roman" w:cs="??_GB2312"/>
                <w:color w:val="auto"/>
                <w:sz w:val="24"/>
                <w:szCs w:val="24"/>
              </w:rPr>
            </w:pPr>
            <w:r>
              <w:rPr>
                <w:rFonts w:hint="eastAsia" w:ascii="宋体" w:hAnsi="宋体" w:eastAsia="仿宋_GB2312" w:cs="宋体"/>
                <w:color w:val="auto"/>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trPr>
        <w:tc>
          <w:tcPr>
            <w:tcW w:w="7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_GB2312" w:hAnsi="??_GB2312" w:eastAsia="宋体" w:cs="??_GB2312"/>
                <w:color w:val="auto"/>
                <w:sz w:val="32"/>
                <w:szCs w:val="32"/>
                <w:lang w:val="en-US" w:eastAsia="zh-CN"/>
              </w:rPr>
            </w:pPr>
            <w:r>
              <w:rPr>
                <w:rFonts w:hint="eastAsia" w:ascii="??_GB2312" w:hAnsi="??_GB2312" w:eastAsia="宋体" w:cs="??_GB2312"/>
                <w:color w:val="auto"/>
                <w:sz w:val="32"/>
                <w:szCs w:val="32"/>
                <w:lang w:val="en-US" w:eastAsia="zh-CN"/>
              </w:rPr>
              <w:t>0</w:t>
            </w:r>
          </w:p>
        </w:tc>
        <w:tc>
          <w:tcPr>
            <w:tcW w:w="7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default" w:ascii="??_GB2312" w:hAnsi="??_GB2312" w:eastAsia="宋体" w:cs="??_GB2312"/>
                <w:color w:val="auto"/>
                <w:sz w:val="32"/>
                <w:szCs w:val="32"/>
                <w:lang w:val="en-US" w:eastAsia="zh-CN"/>
              </w:rPr>
            </w:pPr>
            <w:r>
              <w:rPr>
                <w:rFonts w:hint="eastAsia" w:ascii="??_GB2312" w:hAnsi="??_GB2312" w:eastAsia="宋体" w:cs="??_GB2312"/>
                <w:color w:val="auto"/>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eastAsia="宋体" w:cs="??_GB2312"/>
                <w:color w:val="auto"/>
                <w:sz w:val="32"/>
                <w:szCs w:val="32"/>
                <w:lang w:val="en-US" w:eastAsia="zh-CN"/>
              </w:rPr>
              <w:t>0</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_GB2312" w:hAnsi="??_GB2312" w:eastAsia="宋体" w:cs="??_GB2312"/>
                <w:color w:val="auto"/>
                <w:sz w:val="32"/>
                <w:szCs w:val="32"/>
                <w:lang w:val="en-US" w:eastAsia="zh-CN"/>
              </w:rPr>
            </w:pPr>
            <w:r>
              <w:rPr>
                <w:rFonts w:hint="eastAsia" w:ascii="??_GB2312" w:hAnsi="??_GB2312" w:eastAsia="宋体" w:cs="??_GB2312"/>
                <w:color w:val="auto"/>
                <w:sz w:val="32"/>
                <w:szCs w:val="32"/>
                <w:lang w:val="en-US" w:eastAsia="zh-CN"/>
              </w:rPr>
              <w:t>0</w:t>
            </w:r>
          </w:p>
        </w:tc>
      </w:tr>
    </w:tbl>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宋体" w:eastAsia="仿宋_GB2312" w:cs="Times New Roman"/>
          <w:color w:val="auto"/>
          <w:sz w:val="32"/>
          <w:szCs w:val="32"/>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匡堰</w:t>
      </w:r>
      <w:r>
        <w:rPr>
          <w:rFonts w:hint="eastAsia" w:ascii="仿宋_GB2312" w:hAnsi="仿宋_GB2312" w:eastAsia="仿宋_GB2312" w:cs="仿宋_GB2312"/>
          <w:color w:val="auto"/>
          <w:sz w:val="32"/>
          <w:szCs w:val="32"/>
          <w:lang w:eastAsia="zh-CN"/>
        </w:rPr>
        <w:t>镇信息公开工作总体情况良好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但</w:t>
      </w:r>
      <w:r>
        <w:rPr>
          <w:rFonts w:hint="eastAsia" w:ascii="仿宋_GB2312" w:hAnsi="仿宋_GB2312" w:eastAsia="仿宋_GB2312" w:cs="仿宋_GB2312"/>
          <w:color w:val="auto"/>
          <w:sz w:val="32"/>
          <w:szCs w:val="32"/>
        </w:rPr>
        <w:t>还存在</w:t>
      </w:r>
      <w:r>
        <w:rPr>
          <w:rFonts w:hint="eastAsia" w:ascii="仿宋_GB2312" w:hAnsi="仿宋_GB2312" w:eastAsia="仿宋_GB2312" w:cs="仿宋_GB2312"/>
          <w:color w:val="auto"/>
          <w:sz w:val="32"/>
          <w:szCs w:val="32"/>
          <w:lang w:eastAsia="zh-CN"/>
        </w:rPr>
        <w:t>一些问题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i w:val="0"/>
          <w:caps w:val="0"/>
          <w:color w:val="auto"/>
          <w:spacing w:val="0"/>
          <w:sz w:val="32"/>
          <w:szCs w:val="32"/>
        </w:rPr>
        <w:t>主要表现在</w:t>
      </w:r>
      <w:r>
        <w:rPr>
          <w:rFonts w:hint="eastAsia" w:ascii="仿宋_GB2312" w:hAnsi="仿宋_GB2312" w:eastAsia="仿宋_GB2312" w:cs="仿宋_GB2312"/>
          <w:color w:val="auto"/>
          <w:sz w:val="32"/>
          <w:szCs w:val="32"/>
          <w:lang w:eastAsia="zh-CN"/>
        </w:rPr>
        <w:t>：一是</w:t>
      </w:r>
      <w:r>
        <w:rPr>
          <w:rFonts w:hint="eastAsia" w:ascii="仿宋_GB2312" w:hAnsi="仿宋_GB2312" w:eastAsia="仿宋_GB2312" w:cs="仿宋_GB2312"/>
          <w:color w:val="auto"/>
          <w:sz w:val="32"/>
          <w:szCs w:val="32"/>
          <w:lang w:val="en-US" w:eastAsia="zh-CN"/>
        </w:rPr>
        <w:t>信息更新不够及时；二是信息公开的范围还不够广，在信息的绝对数量上有待加强</w:t>
      </w:r>
      <w:r>
        <w:rPr>
          <w:rFonts w:hint="eastAsia" w:ascii="仿宋_GB2312" w:hAnsi="仿宋_GB2312" w:eastAsia="仿宋_GB2312" w:cs="仿宋_GB2312"/>
          <w:color w:val="auto"/>
          <w:sz w:val="32"/>
          <w:szCs w:val="32"/>
          <w:lang w:eastAsia="zh-CN"/>
        </w:rPr>
        <w:t>；三是</w:t>
      </w:r>
      <w:r>
        <w:rPr>
          <w:rFonts w:hint="eastAsia" w:ascii="仿宋_GB2312" w:hAnsi="宋体" w:eastAsia="仿宋_GB2312" w:cs="Times New Roman"/>
          <w:color w:val="auto"/>
          <w:sz w:val="32"/>
          <w:szCs w:val="32"/>
        </w:rPr>
        <w:t>负责政务公开</w:t>
      </w:r>
      <w:r>
        <w:rPr>
          <w:rFonts w:hint="eastAsia" w:ascii="仿宋_GB2312" w:hAnsi="宋体" w:eastAsia="仿宋_GB2312" w:cs="Times New Roman"/>
          <w:color w:val="auto"/>
          <w:sz w:val="32"/>
          <w:szCs w:val="32"/>
          <w:lang w:eastAsia="zh-CN"/>
        </w:rPr>
        <w:t>的工作</w:t>
      </w:r>
      <w:r>
        <w:rPr>
          <w:rFonts w:hint="eastAsia" w:ascii="仿宋_GB2312" w:hAnsi="宋体" w:eastAsia="仿宋_GB2312" w:cs="Times New Roman"/>
          <w:color w:val="auto"/>
          <w:sz w:val="32"/>
          <w:szCs w:val="32"/>
        </w:rPr>
        <w:t>人员</w:t>
      </w:r>
      <w:r>
        <w:rPr>
          <w:rFonts w:hint="eastAsia" w:ascii="仿宋_GB2312" w:hAnsi="宋体" w:eastAsia="仿宋_GB2312" w:cs="Times New Roman"/>
          <w:color w:val="auto"/>
          <w:sz w:val="32"/>
          <w:szCs w:val="32"/>
          <w:lang w:eastAsia="zh-CN"/>
        </w:rPr>
        <w:t>专业水平和能力素质有待进一步提升</w:t>
      </w:r>
      <w:r>
        <w:rPr>
          <w:rFonts w:hint="eastAsia" w:ascii="仿宋_GB2312" w:hAnsi="宋体" w:eastAsia="仿宋_GB2312" w:cs="Times New Roman"/>
          <w:color w:val="auto"/>
          <w:sz w:val="32"/>
          <w:szCs w:val="32"/>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改进情况：</w:t>
      </w:r>
      <w:r>
        <w:rPr>
          <w:rFonts w:hint="eastAsia" w:ascii="仿宋_GB2312" w:hAnsi="宋体" w:eastAsia="仿宋_GB2312" w:cs="Times New Roman"/>
          <w:b w:val="0"/>
          <w:bCs w:val="0"/>
          <w:color w:val="auto"/>
          <w:sz w:val="32"/>
          <w:szCs w:val="32"/>
          <w:lang w:eastAsia="zh-CN"/>
        </w:rPr>
        <w:t>一是</w:t>
      </w:r>
      <w:r>
        <w:rPr>
          <w:rFonts w:hint="eastAsia" w:ascii="仿宋_GB2312" w:hAnsi="宋体" w:eastAsia="仿宋_GB2312" w:cs="Times New Roman"/>
          <w:b w:val="0"/>
          <w:bCs w:val="0"/>
          <w:color w:val="auto"/>
          <w:sz w:val="32"/>
          <w:szCs w:val="32"/>
          <w:lang w:val="en-US" w:eastAsia="zh-CN"/>
        </w:rPr>
        <w:t>进一步强化时效性，倒排时序，</w:t>
      </w:r>
      <w:r>
        <w:rPr>
          <w:rFonts w:hint="eastAsia" w:ascii="仿宋_GB2312" w:hAnsi="仿宋_GB2312" w:eastAsia="仿宋_GB2312" w:cs="仿宋_GB2312"/>
          <w:color w:val="auto"/>
          <w:sz w:val="32"/>
          <w:szCs w:val="32"/>
          <w:lang w:eastAsia="zh-CN"/>
        </w:rPr>
        <w:t>及时</w:t>
      </w:r>
      <w:r>
        <w:rPr>
          <w:rFonts w:hint="eastAsia" w:ascii="仿宋_GB2312" w:hAnsi="仿宋_GB2312" w:eastAsia="仿宋_GB2312" w:cs="仿宋_GB2312"/>
          <w:color w:val="auto"/>
          <w:sz w:val="32"/>
          <w:szCs w:val="32"/>
          <w:lang w:val="en-US" w:eastAsia="zh-CN"/>
        </w:rPr>
        <w:t>做好政务公开栏目内各类</w:t>
      </w:r>
      <w:r>
        <w:rPr>
          <w:rFonts w:hint="eastAsia" w:ascii="仿宋_GB2312" w:hAnsi="仿宋_GB2312" w:eastAsia="仿宋_GB2312" w:cs="仿宋_GB2312"/>
          <w:color w:val="auto"/>
          <w:sz w:val="32"/>
          <w:szCs w:val="32"/>
          <w:lang w:eastAsia="zh-CN"/>
        </w:rPr>
        <w:t>信息</w:t>
      </w:r>
      <w:r>
        <w:rPr>
          <w:rFonts w:hint="eastAsia" w:ascii="仿宋_GB2312" w:hAnsi="仿宋_GB2312" w:eastAsia="仿宋_GB2312" w:cs="仿宋_GB2312"/>
          <w:color w:val="auto"/>
          <w:sz w:val="32"/>
          <w:szCs w:val="32"/>
          <w:lang w:val="en-US" w:eastAsia="zh-CN"/>
        </w:rPr>
        <w:t>更新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宋体" w:eastAsia="仿宋_GB2312" w:cs="Times New Roman"/>
          <w:color w:val="auto"/>
          <w:sz w:val="32"/>
          <w:szCs w:val="32"/>
          <w:lang w:val="en-US" w:eastAsia="zh-CN"/>
        </w:rPr>
        <w:t>是</w:t>
      </w:r>
      <w:r>
        <w:rPr>
          <w:rFonts w:hint="eastAsia" w:ascii="仿宋_GB2312" w:hAnsi="宋体" w:eastAsia="仿宋_GB2312" w:cs="Times New Roman"/>
          <w:color w:val="auto"/>
          <w:sz w:val="32"/>
          <w:szCs w:val="32"/>
          <w:lang w:eastAsia="zh-CN"/>
        </w:rPr>
        <w:t>以社会需求为导向，在不断深化政府信息公开内容的同时，做到公开方式的</w:t>
      </w:r>
      <w:r>
        <w:rPr>
          <w:rFonts w:hint="eastAsia" w:ascii="仿宋_GB2312" w:hAnsi="宋体" w:eastAsia="仿宋_GB2312" w:cs="Times New Roman"/>
          <w:color w:val="auto"/>
          <w:sz w:val="32"/>
          <w:szCs w:val="32"/>
          <w:lang w:val="en-US" w:eastAsia="zh-CN"/>
        </w:rPr>
        <w:t>丰富</w:t>
      </w:r>
      <w:r>
        <w:rPr>
          <w:rFonts w:hint="eastAsia" w:ascii="仿宋_GB2312" w:hAnsi="宋体" w:eastAsia="仿宋_GB2312" w:cs="Times New Roman"/>
          <w:color w:val="auto"/>
          <w:sz w:val="32"/>
          <w:szCs w:val="32"/>
          <w:lang w:eastAsia="zh-CN"/>
        </w:rPr>
        <w:t>多样，更好地为经济社会发展和人民群众服务；</w:t>
      </w:r>
      <w:r>
        <w:rPr>
          <w:rFonts w:hint="eastAsia" w:ascii="仿宋_GB2312" w:hAnsi="宋体" w:eastAsia="仿宋_GB2312" w:cs="Times New Roman"/>
          <w:color w:val="auto"/>
          <w:sz w:val="32"/>
          <w:szCs w:val="32"/>
          <w:lang w:val="en-US" w:eastAsia="zh-CN"/>
        </w:rPr>
        <w:t>三</w:t>
      </w:r>
      <w:r>
        <w:rPr>
          <w:rFonts w:hint="eastAsia" w:ascii="仿宋_GB2312" w:hAnsi="仿宋_GB2312" w:eastAsia="仿宋_GB2312" w:cs="仿宋_GB2312"/>
          <w:color w:val="auto"/>
          <w:sz w:val="32"/>
          <w:szCs w:val="32"/>
          <w:lang w:val="en-US" w:eastAsia="zh-CN"/>
        </w:rPr>
        <w:t>是</w:t>
      </w:r>
      <w:r>
        <w:rPr>
          <w:rFonts w:hint="eastAsia" w:ascii="仿宋_GB2312" w:hAnsi="宋体" w:eastAsia="仿宋_GB2312" w:cs="Times New Roman"/>
          <w:color w:val="auto"/>
          <w:sz w:val="32"/>
          <w:szCs w:val="32"/>
          <w:lang w:eastAsia="zh-CN"/>
        </w:rPr>
        <w:t>认真贯彻政府信息公开相关要求，继续加强对政府信息公开的业务培训，提高工作人员信息公开工作意识和水平，确保政府信息公开准确、及时、规范。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六、其他需要报告的事项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_GB2312" w:hAnsi="??_GB2312" w:eastAsia="Times New Roman" w:cs="??_GB2312"/>
          <w:color w:val="auto"/>
          <w:sz w:val="32"/>
          <w:szCs w:val="32"/>
        </w:rPr>
      </w:pPr>
      <w:r>
        <w:rPr>
          <w:rFonts w:hint="eastAsia" w:ascii="仿宋_GB2312" w:hAnsi="宋体" w:eastAsia="仿宋_GB2312" w:cs="Times New Roman"/>
          <w:color w:val="auto"/>
          <w:kern w:val="0"/>
          <w:sz w:val="32"/>
          <w:szCs w:val="32"/>
          <w:lang w:val="en-US" w:eastAsia="zh-CN" w:bidi="ar"/>
        </w:rPr>
        <w:t>2023年1月1日至12月31日，本单位共收取信息处理费0元。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_GB2312" w:hAnsi="??_GB2312" w:eastAsia="Times New Roman" w:cs="??_GB2312"/>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center"/>
        <w:textAlignment w:val="auto"/>
        <w:rPr>
          <w:rFonts w:hint="default" w:ascii="仿宋_GB2312" w:hAnsi="宋体" w:eastAsia="仿宋_GB2312" w:cs="Times New Roman"/>
          <w:color w:val="auto"/>
          <w:kern w:val="0"/>
          <w:sz w:val="32"/>
          <w:szCs w:val="32"/>
          <w:lang w:val="en-US" w:eastAsia="zh-CN" w:bidi="ar"/>
        </w:rPr>
      </w:pPr>
      <w:r>
        <w:rPr>
          <w:rFonts w:ascii="??_GB2312" w:hAnsi="??_GB2312" w:eastAsia="Times New Roman" w:cs="??_GB2312"/>
          <w:color w:val="auto"/>
          <w:sz w:val="32"/>
          <w:szCs w:val="32"/>
        </w:rPr>
        <w:t xml:space="preserve">                    </w:t>
      </w:r>
      <w:r>
        <w:rPr>
          <w:rFonts w:hint="eastAsia" w:ascii="仿宋_GB2312" w:hAnsi="宋体" w:eastAsia="仿宋_GB2312" w:cs="Times New Roman"/>
          <w:color w:val="auto"/>
          <w:kern w:val="0"/>
          <w:sz w:val="32"/>
          <w:szCs w:val="32"/>
          <w:lang w:val="en-US" w:eastAsia="zh-CN" w:bidi="ar"/>
        </w:rPr>
        <w:t xml:space="preserve">匡堰镇人民政府  </w:t>
      </w:r>
    </w:p>
    <w:p>
      <w:pPr>
        <w:keepNext w:val="0"/>
        <w:keepLines w:val="0"/>
        <w:pageBreakBefore w:val="0"/>
        <w:kinsoku/>
        <w:wordWrap/>
        <w:overflowPunct/>
        <w:topLinePunct w:val="0"/>
        <w:autoSpaceDE/>
        <w:autoSpaceDN/>
        <w:bidi w:val="0"/>
        <w:adjustRightInd/>
        <w:snapToGrid/>
        <w:spacing w:line="540" w:lineRule="exact"/>
        <w:ind w:firstLine="640" w:firstLineChars="200"/>
        <w:jc w:val="center"/>
        <w:textAlignment w:val="auto"/>
        <w:rPr>
          <w:color w:val="auto"/>
        </w:rPr>
      </w:pPr>
      <w:r>
        <w:rPr>
          <w:rFonts w:hint="eastAsia" w:ascii="仿宋_GB2312" w:hAnsi="宋体" w:eastAsia="仿宋_GB2312" w:cs="Times New Roman"/>
          <w:color w:val="auto"/>
          <w:kern w:val="0"/>
          <w:sz w:val="32"/>
          <w:szCs w:val="32"/>
          <w:lang w:val="en-US" w:eastAsia="zh-CN" w:bidi="ar"/>
        </w:rPr>
        <w:t xml:space="preserve">                     2024年1月12日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825452"/>
    <w:rsid w:val="12825452"/>
    <w:rsid w:val="157A151A"/>
    <w:rsid w:val="18AF6D05"/>
    <w:rsid w:val="3E4B6F0C"/>
    <w:rsid w:val="6DCA3CC7"/>
    <w:rsid w:val="77B94A7A"/>
    <w:rsid w:val="7DBD4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2023-12-15T02:59:00Z</dcterms:created>
  <dc:creator>Administrator</dc:creator>
  <cp:lastModifiedBy>Administrator</cp:lastModifiedBy>
  <dcterms:modified xsi:type="dcterms:W3CDTF">2024-01-15T02:58:31Z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