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left"/>
        <w:rPr>
          <w:rFonts w:hint="eastAsia" w:ascii="方正小标宋简体" w:eastAsia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古塘街道办事处202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6"/>
          <w:szCs w:val="36"/>
        </w:rPr>
        <w:t>年重大行政决策事项目录清单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tbl>
      <w:tblPr>
        <w:tblStyle w:val="3"/>
        <w:tblW w:w="139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908"/>
        <w:gridCol w:w="1980"/>
        <w:gridCol w:w="3240"/>
        <w:gridCol w:w="21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决策事项名称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决策主体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承办部门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制定依据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决策程序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界牌、新潮塘未来社区建设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街道办事处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发展服务办、城建办、社会事务办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《浙江省未来社区建设试点工作方案》《浙江省未来社区试点创建评价指标体系（试行）》等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公众参与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专家论证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合法性审查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集体讨论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全年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27DDE"/>
    <w:rsid w:val="13C5029E"/>
    <w:rsid w:val="1E627DDE"/>
    <w:rsid w:val="32EA3BA6"/>
    <w:rsid w:val="3AAA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2022-03-02T07:01:00Z</dcterms:created>
  <dc:creator>Administrator</dc:creator>
  <cp:lastModifiedBy>Administrator</cp:lastModifiedBy>
  <dcterms:modified xsi:type="dcterms:W3CDTF">2022-03-28T06:05:13Z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