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8C134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2019年度工作总结和2020年度工作安排</w:t>
      </w:r>
    </w:p>
    <w:p w14:paraId="5FC41323">
      <w:pPr>
        <w:spacing w:line="580" w:lineRule="exact"/>
        <w:contextualSpacing/>
        <w:jc w:val="center"/>
        <w:rPr>
          <w:rFonts w:ascii="楷体_GB2312" w:eastAsia="楷体_GB2312"/>
          <w:spacing w:val="-14"/>
          <w:sz w:val="32"/>
          <w:szCs w:val="32"/>
        </w:rPr>
      </w:pPr>
    </w:p>
    <w:p w14:paraId="2D46FE1D">
      <w:pPr>
        <w:spacing w:before="312" w:beforeLines="100" w:after="312" w:afterLines="100" w:line="580" w:lineRule="exact"/>
        <w:ind w:firstLine="584" w:firstLineChars="200"/>
        <w:jc w:val="center"/>
        <w:rPr>
          <w:rFonts w:ascii="黑体" w:hAnsi="??" w:eastAsia="黑体"/>
          <w:spacing w:val="-14"/>
          <w:sz w:val="32"/>
          <w:szCs w:val="32"/>
        </w:rPr>
      </w:pPr>
      <w:r>
        <w:rPr>
          <w:rFonts w:hint="eastAsia" w:ascii="黑体" w:hAnsi="??" w:eastAsia="黑体"/>
          <w:spacing w:val="-14"/>
          <w:sz w:val="32"/>
          <w:szCs w:val="32"/>
        </w:rPr>
        <w:t>一、</w:t>
      </w:r>
      <w:r>
        <w:rPr>
          <w:rFonts w:ascii="黑体" w:hAnsi="??" w:eastAsia="黑体"/>
          <w:spacing w:val="-14"/>
          <w:sz w:val="32"/>
          <w:szCs w:val="32"/>
        </w:rPr>
        <w:t>2019</w:t>
      </w:r>
      <w:r>
        <w:rPr>
          <w:rFonts w:hint="eastAsia" w:ascii="黑体" w:hAnsi="??" w:eastAsia="黑体"/>
          <w:spacing w:val="-14"/>
          <w:sz w:val="32"/>
          <w:szCs w:val="32"/>
        </w:rPr>
        <w:t>年工作回顾</w:t>
      </w:r>
    </w:p>
    <w:p w14:paraId="275C9A16">
      <w:pPr>
        <w:pStyle w:val="7"/>
        <w:snapToGrid/>
        <w:spacing w:line="580" w:lineRule="exact"/>
        <w:ind w:firstLine="584" w:firstLineChars="200"/>
        <w:contextualSpacing/>
        <w:rPr>
          <w:rFonts w:ascii="仿宋_GB2312" w:eastAsia="仿宋_GB2312"/>
          <w:spacing w:val="-10"/>
          <w:sz w:val="32"/>
          <w:szCs w:val="32"/>
        </w:rPr>
      </w:pPr>
      <w:r>
        <w:rPr>
          <w:rFonts w:ascii="仿宋_GB2312" w:eastAsia="仿宋_GB2312"/>
          <w:spacing w:val="-14"/>
          <w:sz w:val="32"/>
          <w:szCs w:val="32"/>
        </w:rPr>
        <w:t>2019</w:t>
      </w:r>
      <w:r>
        <w:rPr>
          <w:rFonts w:hint="eastAsia" w:ascii="仿宋_GB2312" w:eastAsia="仿宋_GB2312"/>
          <w:spacing w:val="-14"/>
          <w:sz w:val="32"/>
          <w:szCs w:val="32"/>
        </w:rPr>
        <w:t>年是新中国成立</w:t>
      </w:r>
      <w:r>
        <w:rPr>
          <w:rFonts w:ascii="仿宋_GB2312" w:eastAsia="仿宋_GB2312"/>
          <w:spacing w:val="-14"/>
          <w:sz w:val="32"/>
          <w:szCs w:val="32"/>
        </w:rPr>
        <w:t>70</w:t>
      </w:r>
      <w:r>
        <w:rPr>
          <w:rFonts w:hint="eastAsia" w:ascii="仿宋_GB2312" w:eastAsia="仿宋_GB2312"/>
          <w:spacing w:val="-14"/>
          <w:sz w:val="32"/>
          <w:szCs w:val="32"/>
        </w:rPr>
        <w:t>周年。一年来，我们在市委、市政府和镇党委的坚强领导下，在镇人大主席团、政协联络委的监督支持下，紧紧依靠全镇人民，按照“六争攻坚、三年攀高”工作部署，围绕“加快建设宁波都市区现代化小城市”目标，抢抓机遇、迎难而上、担当作为，较好完成了镇四届五次</w:t>
      </w:r>
      <w:r>
        <w:rPr>
          <w:rFonts w:hint="eastAsia" w:ascii="仿宋_GB2312" w:eastAsia="仿宋_GB2312"/>
          <w:spacing w:val="-14"/>
          <w:sz w:val="32"/>
          <w:szCs w:val="32"/>
          <w:lang w:eastAsia="zh-CN"/>
        </w:rPr>
        <w:t>人民代表大会</w:t>
      </w:r>
      <w:r>
        <w:rPr>
          <w:rFonts w:hint="eastAsia" w:ascii="仿宋_GB2312" w:eastAsia="仿宋_GB2312"/>
          <w:spacing w:val="-14"/>
          <w:sz w:val="32"/>
          <w:szCs w:val="32"/>
        </w:rPr>
        <w:t>提出的目标任务。</w:t>
      </w:r>
      <w:r>
        <w:rPr>
          <w:rFonts w:hint="eastAsia" w:ascii="仿宋_GB2312" w:eastAsia="仿宋_GB2312"/>
          <w:spacing w:val="-14"/>
          <w:kern w:val="2"/>
          <w:sz w:val="32"/>
          <w:szCs w:val="32"/>
        </w:rPr>
        <w:t>实现地区生产总值160.2亿元，增长9</w:t>
      </w:r>
      <w:r>
        <w:rPr>
          <w:rFonts w:ascii="仿宋_GB2312" w:eastAsia="仿宋_GB2312"/>
          <w:spacing w:val="-14"/>
          <w:kern w:val="2"/>
          <w:sz w:val="32"/>
          <w:szCs w:val="32"/>
        </w:rPr>
        <w:t>%</w:t>
      </w:r>
      <w:r>
        <w:rPr>
          <w:rFonts w:hint="eastAsia" w:ascii="仿宋_GB2312" w:eastAsia="仿宋_GB2312"/>
          <w:spacing w:val="-14"/>
          <w:kern w:val="2"/>
          <w:sz w:val="32"/>
          <w:szCs w:val="32"/>
        </w:rPr>
        <w:t>；财政总收入22.8亿元，其中一般公共预算收入12.4亿元，分别增长0.9%和5.6%；</w:t>
      </w:r>
      <w:r>
        <w:rPr>
          <w:rFonts w:hint="eastAsia" w:ascii="仿宋_GB2312" w:eastAsia="仿宋_GB2312"/>
          <w:spacing w:val="-14"/>
          <w:sz w:val="32"/>
          <w:szCs w:val="32"/>
        </w:rPr>
        <w:t>实现工业总产值393.4亿元，其中规上工业增加值57.6亿元，分别增长9.4%和13.3</w:t>
      </w:r>
      <w:r>
        <w:rPr>
          <w:rFonts w:ascii="仿宋_GB2312" w:eastAsia="仿宋_GB2312"/>
          <w:spacing w:val="-14"/>
          <w:sz w:val="32"/>
          <w:szCs w:val="32"/>
        </w:rPr>
        <w:t>%</w:t>
      </w:r>
      <w:r>
        <w:rPr>
          <w:rFonts w:hint="eastAsia" w:ascii="仿宋_GB2312" w:eastAsia="仿宋_GB2312"/>
          <w:spacing w:val="-14"/>
          <w:sz w:val="32"/>
          <w:szCs w:val="32"/>
        </w:rPr>
        <w:t>。完成外贸自营出口85.3亿元，增长12.4</w:t>
      </w:r>
      <w:r>
        <w:rPr>
          <w:rFonts w:ascii="仿宋_GB2312" w:eastAsia="仿宋_GB2312"/>
          <w:spacing w:val="-14"/>
          <w:sz w:val="32"/>
          <w:szCs w:val="32"/>
        </w:rPr>
        <w:t>%</w:t>
      </w:r>
      <w:r>
        <w:rPr>
          <w:rFonts w:hint="eastAsia" w:ascii="仿宋_GB2312" w:eastAsia="仿宋_GB2312"/>
          <w:spacing w:val="-14"/>
          <w:sz w:val="32"/>
          <w:szCs w:val="32"/>
        </w:rPr>
        <w:t>；完成服务业增加值54.2亿元，增长7.4</w:t>
      </w:r>
      <w:r>
        <w:rPr>
          <w:rFonts w:ascii="仿宋_GB2312" w:eastAsia="仿宋_GB2312"/>
          <w:spacing w:val="-14"/>
          <w:sz w:val="32"/>
          <w:szCs w:val="32"/>
        </w:rPr>
        <w:t>%</w:t>
      </w:r>
      <w:r>
        <w:rPr>
          <w:rFonts w:hint="eastAsia" w:ascii="仿宋_GB2312" w:eastAsia="仿宋_GB2312"/>
          <w:spacing w:val="-14"/>
          <w:sz w:val="32"/>
          <w:szCs w:val="32"/>
        </w:rPr>
        <w:t>。在全国千强镇评选中排名第65位，获得国家卫生镇、省园林镇、省森林镇、省美丽乡村示范镇等荣誉称号。</w:t>
      </w:r>
    </w:p>
    <w:p w14:paraId="07B3A122">
      <w:pPr>
        <w:pStyle w:val="7"/>
        <w:snapToGrid/>
        <w:spacing w:line="580" w:lineRule="exact"/>
        <w:ind w:firstLine="584" w:firstLineChars="200"/>
        <w:contextualSpacing/>
        <w:rPr>
          <w:rFonts w:ascii="仿宋_GB2312" w:eastAsia="仿宋_GB2312"/>
          <w:spacing w:val="-14"/>
          <w:kern w:val="2"/>
          <w:sz w:val="32"/>
          <w:szCs w:val="32"/>
        </w:rPr>
      </w:pPr>
      <w:r>
        <w:rPr>
          <w:rFonts w:hint="eastAsia" w:ascii="仿宋_GB2312" w:eastAsia="仿宋_GB2312"/>
          <w:spacing w:val="-14"/>
          <w:kern w:val="2"/>
          <w:sz w:val="32"/>
          <w:szCs w:val="32"/>
        </w:rPr>
        <w:t>回顾一年来的工作，我们重点做好了以下六个方面：</w:t>
      </w:r>
    </w:p>
    <w:p w14:paraId="67CF5CEB">
      <w:pPr>
        <w:spacing w:line="580" w:lineRule="exact"/>
        <w:ind w:firstLine="587" w:firstLineChars="200"/>
        <w:rPr>
          <w:rFonts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（一）坚持以科技创新为引领，抓转型、谋发展，区域经济稳中向好。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产业平台和项目持续发展</w:t>
      </w:r>
      <w:r>
        <w:rPr>
          <w:rFonts w:ascii="仿宋_GB2312" w:hAnsi="黑体" w:eastAsia="仿宋_GB2312" w:cs="黑体"/>
          <w:b/>
          <w:spacing w:val="-14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智能电器特色小镇、工业东区东扩区块等产业平台建设持续推进，宏伟路南延等工程完工。国能置信智造谷准备土地出让。重点产业项目加快建设，立远汽车等6个项目竣工投产，夏立电器等10个项目有序推进，公牛集团等7个项目完成土地出让。</w:t>
      </w:r>
      <w:r>
        <w:rPr>
          <w:rFonts w:ascii="仿宋_GB2312" w:hAnsi="黑体" w:eastAsia="仿宋_GB2312" w:cs="黑体"/>
          <w:b/>
          <w:spacing w:val="-14"/>
          <w:sz w:val="32"/>
          <w:szCs w:val="32"/>
        </w:rPr>
        <w:t>创新能力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持续提升</w:t>
      </w:r>
      <w:r>
        <w:rPr>
          <w:rFonts w:ascii="仿宋_GB2312" w:hAnsi="黑体" w:eastAsia="仿宋_GB2312" w:cs="黑体"/>
          <w:b/>
          <w:spacing w:val="-14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加快技改步伐，全面完成规上企业智能化诊断三年全覆盖任务，全年累计完成技改投入7.39亿元，同比增长26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。持续推进企业科技创新，新增浙江省高成长科技企业4家，宁波市创新型初创企业25家，高新投资占比达到72%。加快企业股改上市，公牛集团IPO过会，卡帝亚电器等6家企业在甬股交挂牌，双鹊电器等2家企业完成股份制改造，新增规上企业8家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三产商贸持续提质。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完成服务业新业态培育三年行动计划编制，新增进限8家，制造业分离发展服务业2家，新增销售额6.6亿元。城东农贸市场完工，</w:t>
      </w:r>
      <w:r>
        <w:rPr>
          <w:rFonts w:hint="eastAsia" w:ascii="仿宋_GB2312" w:eastAsia="仿宋_GB2312"/>
          <w:spacing w:val="-14"/>
          <w:sz w:val="32"/>
          <w:szCs w:val="32"/>
        </w:rPr>
        <w:t>南门等6个农贸市场改造提升。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东部物流基地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号仓基本建成，夏立电器等仓储项目开工建设。《观海卫镇全域旅游发展规划》编制完成。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招商引智持续深化。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稳步推进接轨大上海工作，设立“观海卫招商引智上海飞地”。全年引进内资4.6亿元。康复医院项目完成土地出让，宁波全球进出口商品小镇签订投资协议。强化招才引智工作，引进硕士以上人才40余人，落户宁波泛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3315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计划项目1个，申报上林英才项目2个。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农业经济持续推进。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加快完善农业基础设施，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1.68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万亩小型农田水利工程开工建设，小岙山塘整治工程有序推进，高背浦等35条河道整治工程竣工，完成农业区间道路4条。鼓励引导农业经营主体发展，新增市级农业龙头企业1家，市级农产品质量安全放心示范基地7家。</w:t>
      </w:r>
    </w:p>
    <w:p w14:paraId="7A008393">
      <w:pPr>
        <w:spacing w:line="580" w:lineRule="exact"/>
        <w:ind w:firstLine="587" w:firstLineChars="200"/>
        <w:rPr>
          <w:rFonts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（二）坚持以建管并举为抓手，破难题、推项目，基础设施日趋完善。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新城功能不断完善。</w:t>
      </w:r>
      <w:r>
        <w:rPr>
          <w:rFonts w:hint="eastAsia" w:ascii="仿宋_GB2312" w:eastAsia="仿宋_GB2312"/>
          <w:spacing w:val="-14"/>
          <w:sz w:val="32"/>
          <w:szCs w:val="32"/>
        </w:rPr>
        <w:t>杜白路等8条道路实现通车，五磊路等6条道路开工建设。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市民公园、</w:t>
      </w:r>
      <w:r>
        <w:rPr>
          <w:rFonts w:hint="eastAsia" w:ascii="仿宋_GB2312" w:eastAsia="仿宋_GB2312"/>
          <w:spacing w:val="-14"/>
          <w:sz w:val="32"/>
          <w:szCs w:val="32"/>
        </w:rPr>
        <w:t>文化中心投用，科创中心、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翁家浦拓疏工程完工</w:t>
      </w:r>
      <w:r>
        <w:rPr>
          <w:rFonts w:hint="eastAsia" w:ascii="仿宋_GB2312" w:hAnsi="??GB2312" w:eastAsia="仿宋_GB2312" w:cs="??GB2312"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spacing w:val="-14"/>
          <w:sz w:val="32"/>
          <w:szCs w:val="32"/>
        </w:rPr>
        <w:t>蓝城慈月园、悦美广场项目开工建设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，奥园誉山湖项目主体结顶，君宸府交付使用。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交通设施不断健全。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观海卫路等三条道路完成改造，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通苏嘉甬铁路、杭甬高速复线等项目前期加快推进，新客运站开工建设，杭州湾引水工程进场施工。新增停车位557个。</w:t>
      </w:r>
      <w:r>
        <w:rPr>
          <w:rFonts w:hint="eastAsia" w:ascii="仿宋_GB2312" w:hAnsi="仿宋_GB2312" w:eastAsia="仿宋_GB2312" w:cs="仿宋_GB2312"/>
          <w:b/>
          <w:spacing w:val="-14"/>
          <w:sz w:val="32"/>
          <w:szCs w:val="32"/>
        </w:rPr>
        <w:t>城市管理不断深化。</w:t>
      </w:r>
      <w:r>
        <w:rPr>
          <w:rFonts w:ascii="仿宋_GB2312" w:eastAsia="仿宋_GB2312"/>
          <w:sz w:val="32"/>
          <w:szCs w:val="32"/>
        </w:rPr>
        <w:t>加</w:t>
      </w:r>
      <w:r>
        <w:rPr>
          <w:rFonts w:hint="eastAsia" w:ascii="仿宋_GB2312" w:eastAsia="仿宋_GB2312"/>
          <w:sz w:val="32"/>
          <w:szCs w:val="32"/>
        </w:rPr>
        <w:t>大违章建筑“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控新拆违</w:t>
      </w:r>
      <w:r>
        <w:rPr>
          <w:rFonts w:hint="eastAsia" w:ascii="仿宋_GB2312" w:eastAsia="仿宋_GB2312"/>
          <w:sz w:val="32"/>
          <w:szCs w:val="32"/>
        </w:rPr>
        <w:t>”力度，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全年完成拆违20.7万平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方米，</w:t>
      </w:r>
      <w:r>
        <w:rPr>
          <w:rFonts w:ascii="仿宋_GB2312" w:eastAsia="仿宋_GB2312"/>
          <w:spacing w:val="-14"/>
          <w:sz w:val="32"/>
          <w:szCs w:val="32"/>
        </w:rPr>
        <w:t>拆除总量居全市</w:t>
      </w:r>
      <w:r>
        <w:rPr>
          <w:rFonts w:hint="eastAsia" w:ascii="仿宋_GB2312" w:eastAsia="仿宋_GB2312"/>
          <w:spacing w:val="-14"/>
          <w:sz w:val="32"/>
          <w:szCs w:val="32"/>
        </w:rPr>
        <w:t>首</w:t>
      </w:r>
      <w:r>
        <w:rPr>
          <w:rFonts w:ascii="仿宋_GB2312" w:eastAsia="仿宋_GB2312"/>
          <w:spacing w:val="-14"/>
          <w:sz w:val="32"/>
          <w:szCs w:val="32"/>
        </w:rPr>
        <w:t>位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spacing w:val="-14"/>
          <w:sz w:val="32"/>
          <w:szCs w:val="32"/>
        </w:rPr>
        <w:t>深入开展城市管理专项治理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实施环城北路“示范路”试点，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累计劝导整治越门经营等不规范行为7200余起，立案查处197起，拆除违规广告招牌标识156块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</w:p>
    <w:p w14:paraId="6E2D4D23">
      <w:pPr>
        <w:spacing w:line="580" w:lineRule="exact"/>
        <w:ind w:firstLine="587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（三）坚持以整改同频为重点，重管理，优生态，城乡品质优化升级。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生态环境有力改善。</w:t>
      </w:r>
      <w:r>
        <w:rPr>
          <w:rFonts w:hint="eastAsia" w:ascii="仿宋_GB2312" w:eastAsia="仿宋_GB2312"/>
          <w:spacing w:val="-14"/>
          <w:sz w:val="32"/>
          <w:szCs w:val="32"/>
        </w:rPr>
        <w:t>完成徐家浦等重点河道专项整治，建设农村生活污水治理项目3个，新建污水主管网1.9千米，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发放排水许可证49本，改</w:t>
      </w:r>
      <w:r>
        <w:rPr>
          <w:rFonts w:hint="eastAsia" w:ascii="仿宋_GB2312" w:eastAsia="仿宋_GB2312"/>
          <w:spacing w:val="-14"/>
          <w:sz w:val="32"/>
          <w:szCs w:val="32"/>
        </w:rPr>
        <w:t>造公厕110座，顺利通过宁波市“污水零直排区”复评。取缔各类低散乱企业作坊120余家，立案查处17起。完成环保信访调处350件， 41家重点企业通过强制性清洁生产和全市挥发性有机物整治验收。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海皇山、徐家浦砂场完成整治。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城乡环境有力提升。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推进镇级道路“撤点并桶”工作，设置两桶点位393处、分类果壳箱399处。试点开展生活垃圾分类，王叶村成为我市首个厨余垃圾处置质量达标村，建成</w:t>
      </w:r>
      <w:r>
        <w:rPr>
          <w:rFonts w:hint="eastAsia" w:ascii="仿宋_GB2312" w:eastAsia="仿宋_GB2312"/>
          <w:spacing w:val="-14"/>
          <w:sz w:val="32"/>
          <w:szCs w:val="32"/>
        </w:rPr>
        <w:t>师桥公园等5个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垃圾分类体验馆，全镇实现垃圾分类“七个一”标准建设。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美丽乡村有力推进。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卫南、卫西宜居村和大岐山、双湖精品村建设完工，三塘头等4个宜居村建设全面开工。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宓大昌周边景观提升工程完工。</w:t>
      </w:r>
      <w:r>
        <w:rPr>
          <w:rFonts w:hint="eastAsia" w:ascii="仿宋_GB2312" w:eastAsia="仿宋_GB2312"/>
          <w:spacing w:val="-14"/>
          <w:sz w:val="32"/>
          <w:szCs w:val="32"/>
        </w:rPr>
        <w:t>双湖村获评省级历史（传统）文化村落保护利用示范村。农房确权全面铺开，发放不动产权证6011本。</w:t>
      </w:r>
    </w:p>
    <w:p w14:paraId="400C43AB">
      <w:pPr>
        <w:spacing w:line="580" w:lineRule="exact"/>
        <w:ind w:firstLine="587" w:firstLineChars="200"/>
        <w:jc w:val="left"/>
        <w:rPr>
          <w:rFonts w:ascii="仿宋_GB2312" w:hAnsi="微软雅黑" w:eastAsia="仿宋_GB2312"/>
          <w:spacing w:val="-14"/>
          <w:sz w:val="32"/>
          <w:szCs w:val="32"/>
          <w:shd w:val="clear" w:color="auto" w:fill="FFFFFF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（四）坚持以民生导向为根本，聚焦点，补短板，社会事业全面进步。</w:t>
      </w:r>
      <w:r>
        <w:rPr>
          <w:rFonts w:hint="eastAsia" w:ascii="仿宋_GB2312" w:eastAsia="仿宋_GB2312"/>
          <w:b/>
          <w:bCs/>
          <w:spacing w:val="-14"/>
          <w:sz w:val="32"/>
          <w:szCs w:val="32"/>
        </w:rPr>
        <w:t>教卫水平更加均衡。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全面完成“低小散”幼儿园整治，等级幼儿园招生覆盖率提升至97.4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。小学毕业考综合评估位列全市镇（街道）第一,镇成校获评省现代化成人学校。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完成9个村卫生室改造提升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，省卫生村实现全覆盖。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民生保障更加完善。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累计发放各类创业补贴、救助金6400余万元，新增就业岗位2600余个。加快发展养老事业，杜湖山庄、海地养老院基本完工。实现退役军人服务站网络全覆盖。打造“无欠薪”观海卫品牌，调解各类劳资事件670余起，涉及金额2300余万元。</w:t>
      </w:r>
      <w:r>
        <w:rPr>
          <w:rFonts w:hint="eastAsia" w:ascii="仿宋_GB2312" w:hAnsi="仿宋_GB2312" w:eastAsia="仿宋_GB2312" w:cs="仿宋_GB2312"/>
          <w:b/>
          <w:spacing w:val="-14"/>
          <w:sz w:val="32"/>
          <w:szCs w:val="32"/>
        </w:rPr>
        <w:t>对口帮扶更加精准。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加强与</w:t>
      </w:r>
      <w:r>
        <w:rPr>
          <w:rFonts w:hint="eastAsia" w:ascii="仿宋_GB2312" w:eastAsia="仿宋_GB2312"/>
          <w:spacing w:val="-14"/>
          <w:sz w:val="32"/>
          <w:szCs w:val="32"/>
        </w:rPr>
        <w:t>贵州兴仁市屯脚镇的扶贫结对，援助资金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400余万元。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昌兴村等5个村级公益事业“一事一议”</w:t>
      </w:r>
      <w:r>
        <w:rPr>
          <w:rFonts w:hint="eastAsia" w:ascii="仿宋_GB2312" w:hAnsi="楷体" w:eastAsia="仿宋_GB2312"/>
          <w:spacing w:val="-14"/>
          <w:sz w:val="32"/>
          <w:szCs w:val="32"/>
        </w:rPr>
        <w:t>项目有序推进，</w:t>
      </w:r>
      <w:r>
        <w:rPr>
          <w:rFonts w:hint="eastAsia" w:ascii="仿宋_GB2312" w:hAnsi="仿宋" w:eastAsia="仿宋_GB2312" w:cs="仿宋"/>
          <w:bCs/>
          <w:spacing w:val="-14"/>
          <w:sz w:val="32"/>
          <w:szCs w:val="32"/>
        </w:rPr>
        <w:t>卫西村等5个村级资产公开招租,</w:t>
      </w:r>
      <w:r>
        <w:rPr>
          <w:rFonts w:hint="eastAsia" w:ascii="仿宋_GB2312" w:hAnsi="楷体" w:eastAsia="仿宋_GB2312"/>
          <w:spacing w:val="-14"/>
          <w:sz w:val="32"/>
          <w:szCs w:val="32"/>
        </w:rPr>
        <w:t>6个经济薄弱村 “飞地物业”扶持项目落地，实现</w:t>
      </w:r>
      <w:r>
        <w:rPr>
          <w:rFonts w:ascii="仿宋_GB2312" w:hAnsi="楷体" w:eastAsia="仿宋_GB2312"/>
          <w:spacing w:val="-14"/>
          <w:sz w:val="32"/>
          <w:szCs w:val="32"/>
        </w:rPr>
        <w:t>20</w:t>
      </w:r>
      <w:r>
        <w:rPr>
          <w:rFonts w:hint="eastAsia" w:ascii="仿宋_GB2312" w:hAnsi="楷体" w:eastAsia="仿宋_GB2312"/>
          <w:spacing w:val="-14"/>
          <w:sz w:val="32"/>
          <w:szCs w:val="32"/>
        </w:rPr>
        <w:t>万以下村全面消薄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spacing w:val="-14"/>
          <w:sz w:val="32"/>
          <w:szCs w:val="32"/>
        </w:rPr>
        <w:t>文体事业更加繁荣。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积极开展“身边好人”选树,</w:t>
      </w:r>
      <w:r>
        <w:rPr>
          <w:rFonts w:ascii="仿宋_GB2312" w:hAnsi="微软雅黑" w:eastAsia="仿宋_GB2312"/>
          <w:spacing w:val="-14"/>
          <w:sz w:val="32"/>
          <w:szCs w:val="32"/>
          <w:shd w:val="clear" w:color="auto" w:fill="FFFFFF"/>
        </w:rPr>
        <w:t>2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人分获“浙江好人”“宁波好人”称号。“创二代”企业家婚事新办事例</w:t>
      </w:r>
      <w:r>
        <w:rPr>
          <w:rFonts w:hint="eastAsia" w:ascii="仿宋_GB2312" w:eastAsia="仿宋_GB2312"/>
          <w:spacing w:val="-14"/>
          <w:sz w:val="32"/>
          <w:szCs w:val="32"/>
        </w:rPr>
        <w:t>获《人民日报》点赞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。创建市级以上文明村（单位）9个，</w:t>
      </w:r>
      <w:r>
        <w:rPr>
          <w:rFonts w:hint="eastAsia" w:ascii="仿宋_GB2312" w:eastAsia="仿宋_GB2312"/>
          <w:spacing w:val="-14"/>
          <w:sz w:val="32"/>
          <w:szCs w:val="32"/>
        </w:rPr>
        <w:t>新时代文明实践站实现全覆盖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。新建村文化礼堂16个，卫</w:t>
      </w:r>
      <w:r>
        <w:rPr>
          <w:rFonts w:hint="eastAsia" w:ascii="仿宋_GB2312" w:eastAsia="仿宋_GB2312"/>
          <w:spacing w:val="-14"/>
          <w:sz w:val="32"/>
          <w:szCs w:val="32"/>
        </w:rPr>
        <w:t>西村文化礼堂成功创建为省五星级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。成功举办中华人民共和国成立</w:t>
      </w:r>
      <w:r>
        <w:rPr>
          <w:rFonts w:ascii="仿宋_GB2312" w:hAnsi="微软雅黑" w:eastAsia="仿宋_GB2312"/>
          <w:spacing w:val="-14"/>
          <w:sz w:val="32"/>
          <w:szCs w:val="32"/>
          <w:shd w:val="clear" w:color="auto" w:fill="FFFFFF"/>
        </w:rPr>
        <w:t>70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周年系列活动。完成口子楼等6处文保点改造，慈溪市级以上非遗项目达17个。</w:t>
      </w:r>
      <w:r>
        <w:rPr>
          <w:rFonts w:hint="eastAsia" w:ascii="仿宋_GB2312" w:eastAsia="仿宋_GB2312"/>
          <w:bCs/>
          <w:spacing w:val="-14"/>
          <w:sz w:val="32"/>
          <w:szCs w:val="32"/>
        </w:rPr>
        <w:t>成功举办镇第三届全民运动会。</w:t>
      </w:r>
    </w:p>
    <w:p w14:paraId="59445F82">
      <w:pPr>
        <w:spacing w:line="580" w:lineRule="exact"/>
        <w:ind w:firstLine="587" w:firstLineChars="200"/>
        <w:rPr>
          <w:rFonts w:ascii="仿宋_GB2312" w:eastAsia="仿宋_GB2312"/>
          <w:spacing w:val="-14"/>
          <w:sz w:val="32"/>
          <w:szCs w:val="32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（五）坚持以社会稳定为目标，保平安，促和谐，基层治理逐步提升。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社会治安不断巩固。</w:t>
      </w:r>
      <w:r>
        <w:rPr>
          <w:rFonts w:hint="eastAsia" w:ascii="仿宋_GB2312" w:eastAsia="仿宋_GB2312"/>
          <w:spacing w:val="-14"/>
          <w:sz w:val="32"/>
          <w:szCs w:val="32"/>
        </w:rPr>
        <w:t>深化“一中心四平台”建设，上报事件15.5万件。</w:t>
      </w:r>
      <w:r>
        <w:rPr>
          <w:rFonts w:ascii="仿宋_GB2312" w:eastAsia="仿宋_GB2312"/>
          <w:spacing w:val="-14"/>
          <w:sz w:val="32"/>
          <w:szCs w:val="32"/>
        </w:rPr>
        <w:t>调处各类矛盾纠纷</w:t>
      </w:r>
      <w:r>
        <w:rPr>
          <w:rFonts w:hint="eastAsia" w:ascii="仿宋_GB2312" w:eastAsia="仿宋_GB2312"/>
          <w:spacing w:val="-14"/>
          <w:sz w:val="32"/>
          <w:szCs w:val="32"/>
        </w:rPr>
        <w:t>3</w:t>
      </w:r>
      <w:r>
        <w:rPr>
          <w:rFonts w:ascii="仿宋_GB2312" w:eastAsia="仿宋_GB2312"/>
          <w:spacing w:val="-14"/>
          <w:sz w:val="32"/>
          <w:szCs w:val="32"/>
        </w:rPr>
        <w:t>25起，成功率达</w:t>
      </w:r>
      <w:r>
        <w:rPr>
          <w:rFonts w:hint="eastAsia" w:ascii="仿宋_GB2312" w:eastAsia="仿宋_GB2312"/>
          <w:spacing w:val="-14"/>
          <w:sz w:val="32"/>
          <w:szCs w:val="32"/>
        </w:rPr>
        <w:t>9</w:t>
      </w:r>
      <w:r>
        <w:rPr>
          <w:rFonts w:ascii="仿宋_GB2312" w:eastAsia="仿宋_GB2312"/>
          <w:spacing w:val="-14"/>
          <w:sz w:val="32"/>
          <w:szCs w:val="32"/>
        </w:rPr>
        <w:t>9.7%</w:t>
      </w:r>
      <w:r>
        <w:rPr>
          <w:rFonts w:hint="eastAsia" w:ascii="仿宋_GB2312" w:eastAsia="仿宋_GB2312"/>
          <w:spacing w:val="-14"/>
          <w:sz w:val="32"/>
          <w:szCs w:val="32"/>
        </w:rPr>
        <w:t>。纵深推进扫黑除恶攻坚行动，打掉涉恶团伙2个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，</w:t>
      </w:r>
      <w:r>
        <w:rPr>
          <w:rFonts w:hint="eastAsia" w:ascii="仿宋_GB2312" w:eastAsia="仿宋_GB2312"/>
          <w:spacing w:val="-14"/>
          <w:sz w:val="32"/>
          <w:szCs w:val="32"/>
        </w:rPr>
        <w:t>打击犯罪578人，刑拘203人。加强雪亮工程建设，新增监控探头122个，新增人脸识别系统27套。“民族之家”党群服务中心“观海卫模式”列为省级样板，获省委车俊书记批示。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信访生态有效改善。</w:t>
      </w:r>
      <w:r>
        <w:rPr>
          <w:rFonts w:hint="eastAsia" w:ascii="仿宋_GB2312" w:eastAsia="仿宋_GB2312"/>
          <w:spacing w:val="-14"/>
          <w:sz w:val="32"/>
          <w:szCs w:val="32"/>
        </w:rPr>
        <w:t>建成市矛盾纠纷多元化解中心观海卫分中心，实行初信初访办理“销号清零”和“首办责任制”，办理初信初访431件，群众满意率达97%。化解信访积案11件。赴京信访登记率下降36.8%，实现重大活动期间赴京“零上访、零登记、零非访”，“宁波市信访重点乡镇建议名单”顺利摘帽。</w:t>
      </w:r>
      <w:r>
        <w:rPr>
          <w:rFonts w:hint="eastAsia" w:ascii="仿宋_GB2312" w:hAnsi="仿宋" w:eastAsia="仿宋_GB2312"/>
          <w:b/>
          <w:sz w:val="32"/>
          <w:szCs w:val="32"/>
        </w:rPr>
        <w:t>公共安全加强保障。</w:t>
      </w:r>
      <w:r>
        <w:rPr>
          <w:rFonts w:hint="eastAsia" w:ascii="仿宋_GB2312" w:eastAsia="仿宋_GB2312"/>
          <w:spacing w:val="-14"/>
          <w:sz w:val="32"/>
          <w:szCs w:val="32"/>
        </w:rPr>
        <w:t>加强对危化品等重点整治，检查各类生产经营单位3000余家，整改隐患3300余个，生产与消防安全无亡人事故。开展道路交通安全综合治理行动，查处“三车”违法行为2.6万起。深化食品药品安全治理，创建省级农村家宴放心厨房3家。提高防灾抗灾能力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完成小灵峰地质灾害应急排险工程。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成功抵御超强台风“利奇马”。</w:t>
      </w:r>
    </w:p>
    <w:p w14:paraId="7E56ED4C">
      <w:pPr>
        <w:spacing w:line="580" w:lineRule="exact"/>
        <w:ind w:firstLine="587" w:firstLineChars="200"/>
        <w:rPr>
          <w:rFonts w:ascii="微软雅黑" w:hAnsi="微软雅黑" w:eastAsia="微软雅黑"/>
          <w:sz w:val="27"/>
          <w:szCs w:val="27"/>
          <w:shd w:val="clear" w:color="auto" w:fill="FFFFFF"/>
        </w:rPr>
      </w:pPr>
      <w:r>
        <w:rPr>
          <w:rFonts w:hint="eastAsia" w:ascii="楷体_GB2312" w:hAnsi="楷体" w:eastAsia="楷体_GB2312"/>
          <w:b/>
          <w:spacing w:val="-14"/>
          <w:sz w:val="32"/>
          <w:szCs w:val="32"/>
        </w:rPr>
        <w:t>（六）坚持依法行政为基础，抓作风、优服务，自身建设持续加强。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机制约束更加有力。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突出抓好保廉体系建设，努力从源头上预防和遏制腐败。</w:t>
      </w:r>
      <w:r>
        <w:rPr>
          <w:rFonts w:hint="eastAsia" w:ascii="仿宋_GB2312" w:eastAsia="仿宋_GB2312"/>
          <w:spacing w:val="-14"/>
          <w:sz w:val="32"/>
          <w:szCs w:val="32"/>
        </w:rPr>
        <w:t>自觉接受镇人大主席团的法律监督、工作监督和政协联络委的民主监督，完成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代表建议办理</w:t>
      </w:r>
      <w:r>
        <w:rPr>
          <w:rFonts w:ascii="仿宋_GB2312" w:hAnsi="宋体" w:eastAsia="仿宋_GB2312"/>
          <w:spacing w:val="-14"/>
          <w:sz w:val="32"/>
          <w:szCs w:val="32"/>
        </w:rPr>
        <w:t>56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件，代表满意率达</w:t>
      </w:r>
      <w:r>
        <w:rPr>
          <w:rFonts w:ascii="仿宋_GB2312" w:hAnsi="宋体" w:eastAsia="仿宋_GB2312"/>
          <w:spacing w:val="-14"/>
          <w:sz w:val="32"/>
          <w:szCs w:val="32"/>
        </w:rPr>
        <w:t>91.1%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积极推进政务公开，</w:t>
      </w:r>
      <w:r>
        <w:rPr>
          <w:rFonts w:hint="eastAsia" w:ascii="仿宋_GB2312" w:eastAsia="仿宋_GB2312"/>
          <w:spacing w:val="-14"/>
          <w:sz w:val="32"/>
          <w:szCs w:val="32"/>
        </w:rPr>
        <w:t>主动公开各类信息2100余条。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行政效能明显提升。</w:t>
      </w:r>
      <w:r>
        <w:rPr>
          <w:rFonts w:hint="eastAsia" w:ascii="仿宋_GB2312" w:eastAsia="仿宋_GB2312"/>
          <w:spacing w:val="-14"/>
          <w:sz w:val="32"/>
          <w:szCs w:val="32"/>
        </w:rPr>
        <w:t>深化“三服务”活动，累计走访2089次，帮助解决各类问题398个。全面实施商事登记窗口“证照分离”“多证合一”办理模式，梳理镇级各类服务事项</w:t>
      </w:r>
      <w:r>
        <w:rPr>
          <w:rFonts w:ascii="仿宋_GB2312" w:eastAsia="仿宋_GB2312"/>
          <w:spacing w:val="-14"/>
          <w:sz w:val="32"/>
          <w:szCs w:val="32"/>
        </w:rPr>
        <w:t>2082</w:t>
      </w:r>
      <w:r>
        <w:rPr>
          <w:rFonts w:hint="eastAsia" w:ascii="仿宋_GB2312" w:eastAsia="仿宋_GB2312"/>
          <w:spacing w:val="-14"/>
          <w:sz w:val="32"/>
          <w:szCs w:val="32"/>
        </w:rPr>
        <w:t>项，办理4.7万件，办结率达99.7</w:t>
      </w:r>
      <w:r>
        <w:rPr>
          <w:rFonts w:ascii="仿宋_GB2312" w:eastAsia="仿宋_GB2312"/>
          <w:spacing w:val="-14"/>
          <w:sz w:val="32"/>
          <w:szCs w:val="32"/>
        </w:rPr>
        <w:t>%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hAnsi="黑体" w:eastAsia="仿宋_GB2312"/>
          <w:spacing w:val="-14"/>
          <w:sz w:val="32"/>
        </w:rPr>
        <w:t>深化“最多跑一次”改革</w:t>
      </w:r>
      <w:r>
        <w:rPr>
          <w:rFonts w:hint="eastAsia" w:ascii="仿宋_GB2312" w:eastAsia="仿宋_GB2312"/>
          <w:spacing w:val="-14"/>
          <w:sz w:val="32"/>
          <w:szCs w:val="32"/>
        </w:rPr>
        <w:t>，</w:t>
      </w:r>
      <w:r>
        <w:rPr>
          <w:rFonts w:hint="eastAsia" w:ascii="仿宋_GB2312" w:hAnsi="黑体" w:eastAsia="仿宋_GB2312"/>
          <w:spacing w:val="-14"/>
          <w:sz w:val="32"/>
        </w:rPr>
        <w:t>在</w:t>
      </w:r>
      <w:r>
        <w:rPr>
          <w:rFonts w:hint="eastAsia" w:ascii="仿宋_GB2312" w:eastAsia="仿宋_GB2312"/>
          <w:spacing w:val="-14"/>
          <w:sz w:val="32"/>
          <w:szCs w:val="32"/>
        </w:rPr>
        <w:t>全市率先引进E公证办理和出入境审批进驻镇级服务中心，承办公证E通模式宁波现场会。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廉政风险有效降低。</w:t>
      </w:r>
      <w:r>
        <w:rPr>
          <w:rFonts w:hint="eastAsia" w:ascii="仿宋_GB2312" w:eastAsia="仿宋_GB2312"/>
          <w:spacing w:val="-14"/>
          <w:sz w:val="32"/>
          <w:szCs w:val="32"/>
        </w:rPr>
        <w:t>实施招标文件网上备案制和中介机</w:t>
      </w:r>
      <w:r>
        <w:rPr>
          <w:rFonts w:hint="eastAsia" w:ascii="仿宋_GB2312" w:hAnsi="仿宋" w:eastAsia="仿宋_GB2312" w:cs="宋体"/>
          <w:spacing w:val="-14"/>
          <w:sz w:val="32"/>
          <w:szCs w:val="32"/>
        </w:rPr>
        <w:t>构入围制，完</w:t>
      </w:r>
      <w:r>
        <w:rPr>
          <w:rFonts w:hint="eastAsia" w:ascii="仿宋_GB2312" w:eastAsia="仿宋_GB2312"/>
          <w:spacing w:val="-14"/>
          <w:sz w:val="32"/>
          <w:szCs w:val="32"/>
        </w:rPr>
        <w:t>成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公共资源交易项目117宗，交易金额约1.18亿元，节约资金1490万</w:t>
      </w:r>
      <w:r>
        <w:rPr>
          <w:rFonts w:hint="eastAsia" w:ascii="仿宋_GB2312" w:eastAsia="仿宋_GB2312"/>
          <w:spacing w:val="-14"/>
          <w:sz w:val="32"/>
          <w:szCs w:val="32"/>
        </w:rPr>
        <w:t>元。从严控制行政成本，“三公”经费支出同比下降5%。强化内部审计监督，</w:t>
      </w:r>
      <w:r>
        <w:rPr>
          <w:rFonts w:hint="eastAsia" w:ascii="仿宋_GB2312" w:hAnsi="仿宋" w:eastAsia="仿宋_GB2312" w:cs="仿宋"/>
          <w:spacing w:val="-14"/>
          <w:sz w:val="32"/>
          <w:szCs w:val="32"/>
        </w:rPr>
        <w:t>完成10个内部审计和4个绩效评价项目。</w:t>
      </w:r>
      <w:r>
        <w:rPr>
          <w:rFonts w:hint="eastAsia" w:ascii="仿宋_GB2312" w:eastAsia="仿宋_GB2312"/>
          <w:spacing w:val="-14"/>
          <w:sz w:val="32"/>
          <w:szCs w:val="32"/>
        </w:rPr>
        <w:t>切实提高财政资金使用绩效，</w:t>
      </w:r>
      <w:r>
        <w:rPr>
          <w:rFonts w:hint="eastAsia" w:ascii="仿宋_GB2312" w:hAnsi="仿宋" w:eastAsia="仿宋_GB2312" w:cs="仿宋"/>
          <w:spacing w:val="-14"/>
          <w:sz w:val="32"/>
          <w:szCs w:val="32"/>
        </w:rPr>
        <w:t>完</w:t>
      </w:r>
      <w:r>
        <w:rPr>
          <w:rFonts w:hint="eastAsia" w:ascii="仿宋_GB2312" w:eastAsia="仿宋_GB2312"/>
          <w:spacing w:val="-14"/>
          <w:sz w:val="32"/>
          <w:szCs w:val="32"/>
        </w:rPr>
        <w:t>成镇政府及</w:t>
      </w:r>
      <w:r>
        <w:rPr>
          <w:rFonts w:ascii="仿宋_GB2312" w:eastAsia="仿宋_GB2312"/>
          <w:spacing w:val="-14"/>
          <w:sz w:val="32"/>
          <w:szCs w:val="32"/>
        </w:rPr>
        <w:t>8</w:t>
      </w:r>
      <w:r>
        <w:rPr>
          <w:rFonts w:hint="eastAsia" w:ascii="仿宋_GB2312" w:eastAsia="仿宋_GB2312"/>
          <w:spacing w:val="-14"/>
          <w:sz w:val="32"/>
          <w:szCs w:val="32"/>
        </w:rPr>
        <w:t>家下属企业资产清查。</w:t>
      </w:r>
    </w:p>
    <w:p w14:paraId="59848103">
      <w:pPr>
        <w:snapToGrid w:val="0"/>
        <w:spacing w:line="580" w:lineRule="exact"/>
        <w:ind w:firstLine="584" w:firstLineChars="200"/>
        <w:rPr>
          <w:rFonts w:ascii="仿宋_GB2312" w:hAnsi="宋体" w:eastAsia="仿宋_GB2312"/>
          <w:spacing w:val="-14"/>
          <w:sz w:val="32"/>
          <w:szCs w:val="32"/>
        </w:rPr>
      </w:pPr>
      <w:r>
        <w:rPr>
          <w:rFonts w:hint="eastAsia" w:ascii="仿宋_GB2312" w:eastAsia="仿宋_GB2312"/>
          <w:spacing w:val="-14"/>
          <w:sz w:val="32"/>
          <w:szCs w:val="32"/>
        </w:rPr>
        <w:t>此外，高度重视国防建设，输送新兵47名。民族、宗教、工会、团委、妇联、老龄、统战、残联、商会等工作也取得了新成绩，现代化小城市建设的合力不断凝聚</w:t>
      </w:r>
      <w:r>
        <w:rPr>
          <w:rFonts w:hint="eastAsia" w:ascii="仿宋_GB2312" w:hAnsi="宋体" w:eastAsia="仿宋_GB2312"/>
          <w:spacing w:val="-14"/>
          <w:sz w:val="32"/>
          <w:szCs w:val="32"/>
        </w:rPr>
        <w:t>。</w:t>
      </w:r>
    </w:p>
    <w:p w14:paraId="6E29AEDE">
      <w:pPr>
        <w:spacing w:before="312" w:beforeLines="100" w:after="312" w:afterLines="100" w:line="580" w:lineRule="exact"/>
        <w:contextualSpacing/>
        <w:jc w:val="center"/>
        <w:rPr>
          <w:rFonts w:ascii="仿宋_GB2312" w:eastAsia="仿宋_GB2312"/>
          <w:spacing w:val="-14"/>
          <w:sz w:val="32"/>
          <w:szCs w:val="32"/>
        </w:rPr>
      </w:pPr>
    </w:p>
    <w:p w14:paraId="60FFD87B">
      <w:pPr>
        <w:spacing w:before="312" w:beforeLines="100" w:after="312" w:afterLines="100" w:line="580" w:lineRule="exact"/>
        <w:contextualSpacing/>
        <w:jc w:val="center"/>
        <w:rPr>
          <w:rFonts w:ascii="黑体" w:eastAsia="黑体"/>
          <w:spacing w:val="-14"/>
          <w:sz w:val="32"/>
          <w:szCs w:val="32"/>
        </w:rPr>
      </w:pPr>
      <w:r>
        <w:rPr>
          <w:rFonts w:hint="eastAsia" w:ascii="黑体" w:eastAsia="黑体"/>
          <w:spacing w:val="-14"/>
          <w:sz w:val="32"/>
          <w:szCs w:val="32"/>
        </w:rPr>
        <w:t>二、</w:t>
      </w:r>
      <w:r>
        <w:rPr>
          <w:rFonts w:ascii="黑体" w:eastAsia="黑体"/>
          <w:spacing w:val="-14"/>
          <w:sz w:val="32"/>
          <w:szCs w:val="32"/>
        </w:rPr>
        <w:t>2020</w:t>
      </w:r>
      <w:r>
        <w:rPr>
          <w:rFonts w:hint="eastAsia" w:ascii="黑体" w:eastAsia="黑体"/>
          <w:spacing w:val="-14"/>
          <w:sz w:val="32"/>
          <w:szCs w:val="32"/>
        </w:rPr>
        <w:t>年工作安排</w:t>
      </w:r>
    </w:p>
    <w:p w14:paraId="58571C57">
      <w:pPr>
        <w:spacing w:before="312" w:beforeLines="100" w:after="312" w:afterLines="100" w:line="580" w:lineRule="exact"/>
        <w:ind w:firstLine="584" w:firstLineChars="200"/>
        <w:contextualSpacing/>
        <w:jc w:val="center"/>
        <w:rPr>
          <w:rFonts w:ascii="黑体" w:eastAsia="黑体"/>
          <w:spacing w:val="-14"/>
          <w:sz w:val="32"/>
          <w:szCs w:val="32"/>
        </w:rPr>
      </w:pPr>
    </w:p>
    <w:p w14:paraId="3CBAFE78">
      <w:pPr>
        <w:spacing w:line="580" w:lineRule="exact"/>
        <w:ind w:firstLine="584" w:firstLineChars="200"/>
        <w:rPr>
          <w:rFonts w:ascii="楷体_GB2312" w:hAnsi="楷体_GB2312" w:eastAsia="楷体_GB2312" w:cs="楷体_GB2312"/>
          <w:b/>
          <w:bCs/>
          <w:spacing w:val="-14"/>
          <w:sz w:val="32"/>
          <w:szCs w:val="32"/>
        </w:rPr>
      </w:pPr>
      <w:r>
        <w:rPr>
          <w:rFonts w:ascii="仿宋_GB2312" w:hAnsi="楷体_GB2312" w:eastAsia="仿宋_GB2312" w:cs="楷体_GB2312"/>
          <w:bCs/>
          <w:spacing w:val="-14"/>
          <w:sz w:val="32"/>
          <w:szCs w:val="32"/>
        </w:rPr>
        <w:t>2020</w:t>
      </w:r>
      <w:r>
        <w:rPr>
          <w:rFonts w:hint="eastAsia" w:ascii="仿宋_GB2312" w:hAnsi="楷体_GB2312" w:eastAsia="仿宋_GB2312" w:cs="楷体_GB2312"/>
          <w:bCs/>
          <w:spacing w:val="-14"/>
          <w:sz w:val="32"/>
          <w:szCs w:val="32"/>
        </w:rPr>
        <w:t>年是高水平</w:t>
      </w:r>
      <w:r>
        <w:rPr>
          <w:rFonts w:ascii="仿宋_GB2312" w:hAnsi="楷体_GB2312" w:eastAsia="仿宋_GB2312" w:cs="楷体_GB2312"/>
          <w:bCs/>
          <w:spacing w:val="-14"/>
          <w:sz w:val="32"/>
          <w:szCs w:val="32"/>
        </w:rPr>
        <w:t>全面建成小</w:t>
      </w:r>
      <w:r>
        <w:rPr>
          <w:rFonts w:hint="eastAsia" w:ascii="仿宋_GB2312" w:hAnsi="楷体_GB2312" w:eastAsia="仿宋_GB2312" w:cs="楷体_GB2312"/>
          <w:bCs/>
          <w:spacing w:val="-14"/>
          <w:sz w:val="32"/>
          <w:szCs w:val="32"/>
        </w:rPr>
        <w:t>康社会和“十三五”规划收官、“十四五</w:t>
      </w:r>
      <w:r>
        <w:rPr>
          <w:rFonts w:ascii="仿宋_GB2312" w:hAnsi="楷体_GB2312" w:eastAsia="仿宋_GB2312" w:cs="楷体_GB2312"/>
          <w:bCs/>
          <w:spacing w:val="-14"/>
          <w:sz w:val="32"/>
          <w:szCs w:val="32"/>
        </w:rPr>
        <w:t>”</w:t>
      </w:r>
      <w:r>
        <w:rPr>
          <w:rFonts w:hint="eastAsia" w:ascii="仿宋_GB2312" w:hAnsi="楷体_GB2312" w:eastAsia="仿宋_GB2312" w:cs="楷体_GB2312"/>
          <w:bCs/>
          <w:spacing w:val="-14"/>
          <w:sz w:val="32"/>
          <w:szCs w:val="32"/>
        </w:rPr>
        <w:t>谋篇布局之年，也是“六争攻坚、三年攀高”行动交卷之年，更是宁波都市区现代化小城市建设继往开来的关键一年。为此，</w:t>
      </w:r>
      <w:r>
        <w:rPr>
          <w:rFonts w:hint="eastAsia" w:ascii="仿宋_GB2312" w:eastAsia="仿宋_GB2312"/>
          <w:spacing w:val="-14"/>
          <w:sz w:val="32"/>
          <w:szCs w:val="32"/>
        </w:rPr>
        <w:t>我们将着力抓好六方面工作：</w:t>
      </w:r>
    </w:p>
    <w:p w14:paraId="46F818A4">
      <w:pPr>
        <w:adjustRightInd w:val="0"/>
        <w:spacing w:line="580" w:lineRule="exact"/>
        <w:ind w:firstLine="587" w:firstLineChars="200"/>
        <w:contextualSpacing/>
        <w:rPr>
          <w:rFonts w:ascii="楷体_GB2312" w:hAnsi="黑体" w:eastAsia="楷体_GB2312"/>
          <w:b/>
          <w:color w:val="FF0000"/>
          <w:sz w:val="32"/>
        </w:rPr>
      </w:pPr>
      <w:r>
        <w:rPr>
          <w:rFonts w:hint="eastAsia" w:ascii="楷体_GB2312" w:eastAsia="楷体_GB2312"/>
          <w:b/>
          <w:spacing w:val="-14"/>
          <w:sz w:val="32"/>
          <w:szCs w:val="32"/>
        </w:rPr>
        <w:t>（一）</w:t>
      </w:r>
      <w:r>
        <w:rPr>
          <w:rFonts w:hint="eastAsia" w:ascii="楷体_GB2312" w:eastAsia="楷体_GB2312"/>
          <w:b/>
          <w:spacing w:val="-10"/>
          <w:sz w:val="32"/>
          <w:szCs w:val="32"/>
        </w:rPr>
        <w:t>更加注重创新引领和结构调整</w:t>
      </w:r>
      <w:r>
        <w:rPr>
          <w:rFonts w:hint="eastAsia" w:ascii="楷体_GB2312" w:eastAsia="楷体_GB2312"/>
          <w:b/>
          <w:spacing w:val="-14"/>
          <w:sz w:val="32"/>
          <w:szCs w:val="32"/>
        </w:rPr>
        <w:t>，在区域经济上实现新突破。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做大做强企业主体。</w:t>
      </w:r>
      <w:r>
        <w:rPr>
          <w:rFonts w:hint="eastAsia" w:ascii="仿宋_GB2312" w:eastAsia="仿宋_GB2312"/>
          <w:spacing w:val="-14"/>
          <w:sz w:val="32"/>
          <w:szCs w:val="32"/>
        </w:rPr>
        <w:t>全面推进智能电器特色小镇、工业东区东扩建设，完成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桃园东路南延、横三路等续建工程，加快推进横二路、纵三路等工程建设，改造提升大塘路、通业路等园区道路两侧附属设施。加快</w:t>
      </w:r>
      <w:r>
        <w:rPr>
          <w:rFonts w:hint="eastAsia" w:ascii="仿宋_GB2312" w:eastAsia="仿宋_GB2312"/>
          <w:spacing w:val="-14"/>
          <w:sz w:val="32"/>
          <w:szCs w:val="32"/>
        </w:rPr>
        <w:t>国能置信智造谷建设，探索试点2个</w:t>
      </w:r>
      <w:r>
        <w:rPr>
          <w:rFonts w:ascii="仿宋_GB2312" w:eastAsia="仿宋_GB2312"/>
          <w:spacing w:val="-14"/>
          <w:sz w:val="32"/>
          <w:szCs w:val="32"/>
        </w:rPr>
        <w:t>村级小微园区改造</w:t>
      </w:r>
      <w:r>
        <w:rPr>
          <w:rFonts w:hint="eastAsia" w:ascii="仿宋_GB2312" w:eastAsia="仿宋_GB2312"/>
          <w:spacing w:val="-14"/>
          <w:sz w:val="32"/>
          <w:szCs w:val="32"/>
        </w:rPr>
        <w:t>。加快推进公牛集团</w:t>
      </w:r>
      <w:r>
        <w:rPr>
          <w:rFonts w:ascii="仿宋_GB2312" w:eastAsia="仿宋_GB2312"/>
          <w:spacing w:val="-14"/>
          <w:sz w:val="32"/>
          <w:szCs w:val="32"/>
        </w:rPr>
        <w:t>3</w:t>
      </w:r>
      <w:r>
        <w:rPr>
          <w:rFonts w:hint="eastAsia" w:ascii="仿宋_GB2312" w:eastAsia="仿宋_GB2312"/>
          <w:spacing w:val="-14"/>
          <w:sz w:val="32"/>
          <w:szCs w:val="32"/>
        </w:rPr>
        <w:t>个市级重大项目和健仕科技、来和圣诞等8个重点产业项目建设。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加大小升规企业培育挖掘力度，新增规上工业</w:t>
      </w:r>
      <w:r>
        <w:rPr>
          <w:rFonts w:hint="eastAsia" w:ascii="仿宋_GB2312" w:eastAsia="仿宋_GB2312"/>
          <w:spacing w:val="-14"/>
          <w:sz w:val="32"/>
          <w:szCs w:val="32"/>
        </w:rPr>
        <w:t>企业8家以上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推进产业高质量发展。</w:t>
      </w:r>
      <w:r>
        <w:rPr>
          <w:rFonts w:hint="eastAsia" w:ascii="仿宋_GB2312" w:eastAsia="仿宋_GB2312"/>
          <w:spacing w:val="-14"/>
          <w:sz w:val="32"/>
          <w:szCs w:val="32"/>
        </w:rPr>
        <w:t>深入实施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“质量强镇”建设,</w:t>
      </w:r>
      <w:r>
        <w:rPr>
          <w:rFonts w:hint="eastAsia" w:ascii="仿宋_GB2312" w:eastAsia="仿宋_GB2312"/>
          <w:spacing w:val="-14"/>
          <w:sz w:val="32"/>
          <w:szCs w:val="32"/>
        </w:rPr>
        <w:t>鼓励企业加大科技研发投入，实现规上企业研发机构全覆盖，完成科研投入7亿元以上，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高新投资占工业投资的比重保持70%以上。加快科技产品专利申请和产业化速度，申报专利</w:t>
      </w:r>
      <w:r>
        <w:rPr>
          <w:rFonts w:ascii="仿宋_GB2312" w:hAnsi="楷体" w:eastAsia="仿宋_GB2312" w:cs="仿宋_GB2312"/>
          <w:spacing w:val="-14"/>
          <w:sz w:val="32"/>
          <w:szCs w:val="32"/>
        </w:rPr>
        <w:t>1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5</w:t>
      </w:r>
      <w:r>
        <w:rPr>
          <w:rFonts w:ascii="仿宋_GB2312" w:hAnsi="楷体" w:eastAsia="仿宋_GB2312" w:cs="仿宋_GB2312"/>
          <w:spacing w:val="-14"/>
          <w:sz w:val="32"/>
          <w:szCs w:val="32"/>
        </w:rPr>
        <w:t>00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件，授权专利10</w:t>
      </w:r>
      <w:r>
        <w:rPr>
          <w:rFonts w:ascii="仿宋_GB2312" w:hAnsi="楷体" w:eastAsia="仿宋_GB2312" w:cs="仿宋_GB2312"/>
          <w:spacing w:val="-14"/>
          <w:sz w:val="32"/>
          <w:szCs w:val="32"/>
        </w:rPr>
        <w:t>00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件。继续推进企业股改上市，百力电器等5家企业实现甬股交挂牌，力争企业股份制改造或新设</w:t>
      </w:r>
      <w:r>
        <w:rPr>
          <w:rFonts w:ascii="仿宋_GB2312" w:hAnsi="楷体" w:eastAsia="仿宋_GB2312" w:cs="仿宋_GB2312"/>
          <w:spacing w:val="-14"/>
          <w:sz w:val="32"/>
          <w:szCs w:val="32"/>
        </w:rPr>
        <w:t>3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家以上。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深化“亩均论英雄”改革，</w:t>
      </w:r>
      <w:r>
        <w:rPr>
          <w:rFonts w:hint="eastAsia" w:ascii="仿宋_GB2312" w:hAnsi="楷体" w:eastAsia="仿宋_GB2312" w:cs="仿宋_GB2312"/>
          <w:spacing w:val="-14"/>
          <w:sz w:val="32"/>
          <w:szCs w:val="32"/>
        </w:rPr>
        <w:t>强化亩均效益评价结果应用，规范提升用电用工用地综合指标明显落后的企业，落实差别化激励约束政策。加大对公牛、韩电、宏一等龙头、骨干企业的政策支持，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实施企业人才公寓建设。深入挖掘创新资源，推动宁波大学科技学院与我镇企业的产学研合作。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大力发展现代服务业。</w:t>
      </w:r>
      <w:r>
        <w:rPr>
          <w:rFonts w:hint="eastAsia" w:ascii="仿宋_GB2312" w:eastAsia="仿宋_GB2312"/>
          <w:spacing w:val="-14"/>
          <w:sz w:val="32"/>
          <w:szCs w:val="32"/>
        </w:rPr>
        <w:t>深入实施服务业新业态培育三年行动计划，完成东部物流仓储3号仓项目建设及招租，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打造城隍庙特色商圈，推动商贸特色镇、村建设，力争</w:t>
      </w:r>
      <w:r>
        <w:rPr>
          <w:rFonts w:hint="eastAsia" w:ascii="仿宋_GB2312" w:eastAsia="仿宋_GB2312"/>
          <w:spacing w:val="-14"/>
          <w:sz w:val="32"/>
          <w:szCs w:val="32"/>
        </w:rPr>
        <w:t>全年新增分离发展服务业</w:t>
      </w:r>
      <w:r>
        <w:rPr>
          <w:rFonts w:ascii="仿宋_GB2312" w:eastAsia="仿宋_GB2312"/>
          <w:spacing w:val="-14"/>
          <w:sz w:val="32"/>
          <w:szCs w:val="32"/>
        </w:rPr>
        <w:t>1</w:t>
      </w:r>
      <w:r>
        <w:rPr>
          <w:rFonts w:hint="eastAsia" w:ascii="仿宋_GB2312" w:eastAsia="仿宋_GB2312"/>
          <w:spacing w:val="-14"/>
          <w:sz w:val="32"/>
          <w:szCs w:val="32"/>
        </w:rPr>
        <w:t>家，限上企业</w:t>
      </w:r>
      <w:r>
        <w:rPr>
          <w:rFonts w:ascii="仿宋_GB2312" w:eastAsia="仿宋_GB2312"/>
          <w:spacing w:val="-14"/>
          <w:sz w:val="32"/>
          <w:szCs w:val="32"/>
        </w:rPr>
        <w:t>5</w:t>
      </w:r>
      <w:r>
        <w:rPr>
          <w:rFonts w:hint="eastAsia" w:ascii="仿宋_GB2312" w:eastAsia="仿宋_GB2312"/>
          <w:spacing w:val="-14"/>
          <w:sz w:val="32"/>
          <w:szCs w:val="32"/>
        </w:rPr>
        <w:t>家。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抓好新泽等农贸市场建设和城东菜场投用。做好鸣鹤古镇开发建设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推进环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白洋湖通道建设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和中街立面改造工作，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力争古镇酒店项目落地，引进标杆性精品民宿，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创建A级景区村庄5个。搞好旅游节庆活动，策划“鸣鹤年糕节”，打响鸣鹤古镇旅游品牌。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切实抓好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招商引智。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坚持招商引智</w:t>
      </w:r>
      <w:r>
        <w:rPr>
          <w:rFonts w:hint="eastAsia" w:ascii="仿宋_GB2312" w:eastAsia="仿宋_GB2312"/>
          <w:spacing w:val="-14"/>
          <w:sz w:val="32"/>
          <w:szCs w:val="32"/>
        </w:rPr>
        <w:t>不动摇，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持续做好</w:t>
      </w:r>
      <w:r>
        <w:rPr>
          <w:rFonts w:hint="eastAsia" w:ascii="仿宋_GB2312" w:hAnsi="黑体" w:eastAsia="仿宋_GB2312"/>
          <w:spacing w:val="-14"/>
          <w:sz w:val="32"/>
          <w:szCs w:val="32"/>
        </w:rPr>
        <w:t>“以企引企”、“以商引商”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，全年力争引进外资8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00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万美元、内资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亿元。加快推进</w:t>
      </w:r>
      <w:r>
        <w:rPr>
          <w:rFonts w:hint="eastAsia" w:ascii="仿宋_GB2312" w:eastAsia="仿宋_GB2312"/>
          <w:spacing w:val="-14"/>
          <w:sz w:val="32"/>
          <w:szCs w:val="32"/>
        </w:rPr>
        <w:t>宁波全球进出口商品小镇落地建设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，加速打造“金慈塑料城”慈企回归新平台。大力引进高层次、高技能人才，</w:t>
      </w:r>
      <w:r>
        <w:rPr>
          <w:rFonts w:hint="eastAsia" w:ascii="仿宋_GB2312" w:eastAsia="仿宋_GB2312"/>
          <w:spacing w:val="-14"/>
          <w:sz w:val="32"/>
          <w:szCs w:val="32"/>
        </w:rPr>
        <w:t>完善多元化多层次的人才激励保障体系。</w:t>
      </w:r>
      <w:r>
        <w:rPr>
          <w:rFonts w:hint="eastAsia" w:ascii="仿宋_GB2312" w:hAnsi="楷体" w:eastAsia="仿宋_GB2312" w:cs="仿宋_GB2312"/>
          <w:b/>
          <w:bCs/>
          <w:spacing w:val="-14"/>
          <w:sz w:val="32"/>
          <w:szCs w:val="32"/>
        </w:rPr>
        <w:t>加快培育</w:t>
      </w:r>
      <w:r>
        <w:rPr>
          <w:rFonts w:hint="eastAsia" w:ascii="仿宋_GB2312" w:hAnsi="仿宋" w:eastAsia="仿宋_GB2312"/>
          <w:b/>
          <w:spacing w:val="-14"/>
          <w:sz w:val="32"/>
          <w:szCs w:val="32"/>
        </w:rPr>
        <w:t>现代农业。</w:t>
      </w:r>
      <w:r>
        <w:rPr>
          <w:rFonts w:hint="eastAsia" w:ascii="仿宋_GB2312" w:eastAsia="仿宋_GB2312"/>
          <w:spacing w:val="-14"/>
          <w:sz w:val="32"/>
          <w:szCs w:val="32"/>
        </w:rPr>
        <w:t>完善农业基础设施建设，实施主要道路两侧农业设施用房改造，推进高背浦至徐家浦小农水工程，开展竺山江等重点河道整治，实施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方家浦两侧高标准农田建设项目，全面改建翁家浦路等农田框架道路，完成五洞闸等7个渔场尾水治理工程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启动徐家浦田园综合体</w:t>
      </w:r>
      <w:r>
        <w:rPr>
          <w:rFonts w:ascii="仿宋_GB2312" w:hAnsi="微软雅黑" w:eastAsia="仿宋_GB2312"/>
          <w:spacing w:val="-14"/>
          <w:sz w:val="32"/>
          <w:szCs w:val="32"/>
        </w:rPr>
        <w:t>建</w:t>
      </w:r>
      <w:r>
        <w:rPr>
          <w:rFonts w:ascii="仿宋_GB2312" w:eastAsia="仿宋_GB2312"/>
          <w:spacing w:val="-14"/>
          <w:sz w:val="32"/>
          <w:szCs w:val="32"/>
        </w:rPr>
        <w:t>设</w:t>
      </w:r>
      <w:r>
        <w:rPr>
          <w:rFonts w:hint="eastAsia" w:ascii="仿宋_GB2312" w:eastAsia="仿宋_GB2312"/>
          <w:spacing w:val="-14"/>
          <w:sz w:val="32"/>
          <w:szCs w:val="32"/>
        </w:rPr>
        <w:t>，</w:t>
      </w:r>
      <w:r>
        <w:rPr>
          <w:rFonts w:ascii="仿宋_GB2312" w:eastAsia="仿宋_GB2312"/>
          <w:spacing w:val="-14"/>
          <w:sz w:val="32"/>
          <w:szCs w:val="32"/>
        </w:rPr>
        <w:t>培育壮大</w:t>
      </w:r>
      <w:r>
        <w:rPr>
          <w:rFonts w:hint="eastAsia" w:ascii="仿宋_GB2312" w:eastAsia="仿宋_GB2312"/>
          <w:spacing w:val="-14"/>
          <w:sz w:val="32"/>
          <w:szCs w:val="32"/>
        </w:rPr>
        <w:t>农业产业化</w:t>
      </w:r>
      <w:r>
        <w:rPr>
          <w:rFonts w:ascii="仿宋_GB2312" w:eastAsia="仿宋_GB2312"/>
          <w:spacing w:val="-14"/>
          <w:sz w:val="32"/>
          <w:szCs w:val="32"/>
        </w:rPr>
        <w:t>龙头企业</w:t>
      </w:r>
      <w:r>
        <w:rPr>
          <w:rFonts w:hint="eastAsia" w:ascii="仿宋_GB2312" w:eastAsia="仿宋_GB2312"/>
          <w:spacing w:val="-14"/>
          <w:sz w:val="32"/>
          <w:szCs w:val="32"/>
        </w:rPr>
        <w:t>，推动农业高质量发展。</w:t>
      </w:r>
      <w:r>
        <w:rPr>
          <w:rFonts w:ascii="仿宋_GB2312" w:hAnsi="微软雅黑" w:eastAsia="仿宋_GB2312"/>
          <w:spacing w:val="-14"/>
          <w:sz w:val="32"/>
          <w:szCs w:val="32"/>
        </w:rPr>
        <w:t>强化区域特色农业品牌创建，集中力量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发展</w:t>
      </w:r>
      <w:r>
        <w:rPr>
          <w:rFonts w:ascii="仿宋_GB2312" w:hAnsi="微软雅黑" w:eastAsia="仿宋_GB2312"/>
          <w:spacing w:val="-14"/>
          <w:sz w:val="32"/>
          <w:szCs w:val="32"/>
        </w:rPr>
        <w:t>特色、生态、休闲农业</w:t>
      </w:r>
      <w:r>
        <w:rPr>
          <w:rFonts w:hint="eastAsia" w:ascii="仿宋_GB2312" w:eastAsia="仿宋_GB2312"/>
          <w:spacing w:val="-14"/>
          <w:sz w:val="32"/>
        </w:rPr>
        <w:t>，培育一批名特优新农产品</w:t>
      </w:r>
      <w:r>
        <w:rPr>
          <w:rFonts w:ascii="仿宋_GB2312" w:hAnsi="微软雅黑" w:eastAsia="仿宋_GB2312"/>
          <w:spacing w:val="-14"/>
          <w:sz w:val="32"/>
          <w:szCs w:val="32"/>
        </w:rPr>
        <w:t>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加强农合联建设，创建宁波市示范性农事服务中心，新建庄稼医院</w:t>
      </w:r>
      <w:r>
        <w:rPr>
          <w:rFonts w:ascii="仿宋_GB2312" w:hAnsi="仿宋" w:eastAsia="仿宋_GB2312"/>
          <w:spacing w:val="-14"/>
          <w:sz w:val="32"/>
          <w:szCs w:val="32"/>
        </w:rPr>
        <w:t>1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家。</w:t>
      </w:r>
    </w:p>
    <w:p w14:paraId="2398560A">
      <w:pPr>
        <w:spacing w:line="580" w:lineRule="exact"/>
        <w:ind w:firstLine="603" w:firstLineChars="200"/>
        <w:rPr>
          <w:rFonts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楷体_GB2312" w:eastAsia="楷体_GB2312"/>
          <w:b/>
          <w:spacing w:val="-10"/>
          <w:sz w:val="32"/>
          <w:szCs w:val="32"/>
        </w:rPr>
        <w:t>（二）更加注重城市建设和精细管理，在城市形象上实现新突破。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加速推进新城建设。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全面完成新城PPP项目建设，实现核心区路网贯通。稳步推进卫前路（卫城路—锦堂）二期、定水路西延工程等前期工作。启动滨江体育公园建设，完成桃园路、世纪大道等主要道路两侧绿化景观工程，提升新城整体形象。加快推进奥园酒店、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悦美广场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等项目建设。全面完成环城东路拆迁，适时启动海地屋区块拆迁。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完善城市基础设施。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全面启动“美丽城镇”建设，完成广义南路等道路建设，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实施掌起环城南路至山海线道路，启动环城南路拓宽工程，完成观海卫路改造提升工程，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实施重点门户、重要节点景观打造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，加快湖中路提升工程。积极配合通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苏嘉甬铁路、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杭甬高速复线建设。攻坚完成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宏一道口拆迁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。力争新观海卫客运站建成投用，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大力推进停车场建设，试点推广智慧停车项目，新建车位1000个以上。</w:t>
      </w:r>
      <w:r>
        <w:rPr>
          <w:rFonts w:hint="eastAsia" w:ascii="仿宋_GB2312" w:hAnsi="仿宋" w:eastAsia="仿宋_GB2312"/>
          <w:b/>
          <w:spacing w:val="-14"/>
          <w:sz w:val="32"/>
          <w:szCs w:val="32"/>
        </w:rPr>
        <w:t>提高城市管理水平</w:t>
      </w:r>
      <w:r>
        <w:rPr>
          <w:rFonts w:hint="eastAsia" w:ascii="仿宋_GB2312" w:hAnsi="楷体_GB2312" w:eastAsia="仿宋_GB2312" w:cs="楷体_GB2312"/>
          <w:b/>
          <w:bCs/>
          <w:spacing w:val="-14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深化无违建镇创建，加大拆旧控新和法院裁执案件处置力度，重点拆除东山南路两侧和低散乱重点集中区块的各类违建，全年拆违16万平方米以上。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加强对全镇危旧房屋动态监测，改造危旧房屋100户以上。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推行“城警联动”工作机制，做到警力下沉。创新城管考核激励办法，强化责任包干，打造样板道路。科学实施流动摊贩整治，规范“地摊经济”秩序。完善工作方法，严厉整治建筑垃圾乱倾倒行为。</w:t>
      </w:r>
    </w:p>
    <w:p w14:paraId="1A85DFB0">
      <w:pPr>
        <w:spacing w:line="580" w:lineRule="exact"/>
        <w:ind w:firstLine="741" w:firstLineChars="246"/>
        <w:contextualSpacing/>
        <w:rPr>
          <w:rFonts w:ascii="楷体_GB2312" w:hAnsi="黑体" w:eastAsia="楷体_GB2312"/>
          <w:b/>
          <w:color w:val="FF0000"/>
          <w:sz w:val="32"/>
        </w:rPr>
      </w:pPr>
      <w:r>
        <w:rPr>
          <w:rFonts w:hint="eastAsia" w:ascii="楷体_GB2312" w:eastAsia="楷体_GB2312"/>
          <w:b/>
          <w:spacing w:val="-10"/>
          <w:sz w:val="32"/>
          <w:szCs w:val="32"/>
        </w:rPr>
        <w:t>（三）更加注重源头管控和生态保护，在生态环境上实现新突破。</w:t>
      </w:r>
      <w:r>
        <w:rPr>
          <w:rFonts w:hint="eastAsia" w:ascii="仿宋_GB2312" w:hAnsi="仿宋_GB2312" w:eastAsia="仿宋_GB2312" w:cs="仿宋_GB2312"/>
          <w:b/>
          <w:bCs/>
          <w:spacing w:val="-14"/>
          <w:sz w:val="32"/>
          <w:szCs w:val="32"/>
        </w:rPr>
        <w:t>持续加强生态环境治理。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健全河长制、湖长制，严格落实饮用水源地保护措施，确保“三大断面”水质只升不降。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加强环境监察和环保执法，坚持抓好废塑料防反弹和区域性重污染行业整治，调整淘汰低效落后产能，争取关闭各类散乱污企业100家以上。认真落实大气污染防治，加强工地扬尘、餐饮油烟、田间焚烧、尾气排放等综合治理，深化企业清洁生产和挥发性有机物（VOCs）整治，坚决打赢“蓝天保卫战”。</w:t>
      </w:r>
      <w:r>
        <w:rPr>
          <w:rFonts w:hint="eastAsia" w:ascii="仿宋_GB2312" w:hAnsi="仿宋" w:eastAsia="仿宋_GB2312"/>
          <w:b/>
          <w:spacing w:val="-14"/>
          <w:sz w:val="32"/>
          <w:szCs w:val="32"/>
        </w:rPr>
        <w:t>持续推进城乡环境整治。</w:t>
      </w:r>
      <w:r>
        <w:rPr>
          <w:rFonts w:hint="eastAsia" w:ascii="仿宋_GB2312" w:hAnsi="黑体" w:eastAsia="仿宋_GB2312" w:cs="黑体"/>
          <w:spacing w:val="-14"/>
          <w:sz w:val="32"/>
          <w:szCs w:val="22"/>
        </w:rPr>
        <w:t>大力开展以给城市“洗个澡”为主题的城乡卫生大扫除行动，完善长效管理机制。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全面完成鸣兴村、五里村宁波市级水环境整治项目。</w:t>
      </w:r>
      <w:r>
        <w:rPr>
          <w:rFonts w:hint="eastAsia" w:ascii="仿宋_GB2312" w:eastAsia="仿宋_GB2312"/>
          <w:spacing w:val="-14"/>
          <w:sz w:val="32"/>
          <w:szCs w:val="32"/>
        </w:rPr>
        <w:t>深入推进生活垃圾分类精细化规范化管理，</w:t>
      </w:r>
      <w:r>
        <w:rPr>
          <w:rFonts w:hint="eastAsia" w:ascii="仿宋_GB2312" w:hAnsi="黑体" w:eastAsia="仿宋_GB2312" w:cs="黑体"/>
          <w:spacing w:val="-14"/>
          <w:sz w:val="32"/>
          <w:szCs w:val="22"/>
        </w:rPr>
        <w:t>推广“定时定点投放清运”“第三方服务”等分类新模式，提升垃圾分类工作的效能。</w:t>
      </w:r>
      <w:r>
        <w:rPr>
          <w:rFonts w:hint="eastAsia" w:ascii="仿宋_GB2312" w:hAnsi="黑体" w:eastAsia="仿宋_GB2312"/>
          <w:spacing w:val="-14"/>
          <w:sz w:val="32"/>
          <w:szCs w:val="22"/>
        </w:rPr>
        <w:t>做好垃圾分类示范村（社区）的梯度培育，</w:t>
      </w:r>
      <w:r>
        <w:rPr>
          <w:rFonts w:hint="eastAsia" w:ascii="仿宋_GB2312" w:eastAsia="仿宋_GB2312"/>
          <w:spacing w:val="-14"/>
          <w:sz w:val="32"/>
          <w:szCs w:val="32"/>
        </w:rPr>
        <w:t>建成6个精品示范村、11个精品示范小区</w:t>
      </w:r>
      <w:r>
        <w:rPr>
          <w:rFonts w:hint="eastAsia" w:ascii="仿宋_GB2312" w:hAnsi="仿宋" w:eastAsia="仿宋_GB2312"/>
          <w:b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spacing w:val="-14"/>
          <w:sz w:val="32"/>
          <w:szCs w:val="32"/>
        </w:rPr>
        <w:t>完善城乡垃圾收运处置和资源化利用体系，逐步推广垃圾有偿清运。</w:t>
      </w:r>
      <w:r>
        <w:rPr>
          <w:rFonts w:hint="eastAsia" w:ascii="仿宋_GB2312" w:hAnsi="仿宋" w:eastAsia="仿宋_GB2312"/>
          <w:b/>
          <w:spacing w:val="-14"/>
          <w:sz w:val="32"/>
          <w:szCs w:val="32"/>
        </w:rPr>
        <w:t>持续加快美丽乡村建设。</w:t>
      </w:r>
      <w:r>
        <w:rPr>
          <w:rFonts w:hint="eastAsia" w:ascii="仿宋_GB2312" w:hAnsi="黑体" w:eastAsia="仿宋_GB2312" w:cs="黑体"/>
          <w:spacing w:val="-14"/>
          <w:sz w:val="32"/>
          <w:szCs w:val="22"/>
        </w:rPr>
        <w:t>高质量编制国土空间总体规划，推进新城控规修编，</w:t>
      </w:r>
      <w:r>
        <w:rPr>
          <w:rFonts w:hint="eastAsia" w:ascii="仿宋_GB2312" w:eastAsia="仿宋_GB2312"/>
          <w:spacing w:val="-14"/>
          <w:sz w:val="32"/>
          <w:szCs w:val="32"/>
        </w:rPr>
        <w:t>适时启动卫城保护开发方案编制，完成建成区外</w:t>
      </w:r>
      <w:r>
        <w:rPr>
          <w:rFonts w:ascii="仿宋_GB2312" w:eastAsia="仿宋_GB2312"/>
          <w:spacing w:val="-14"/>
          <w:sz w:val="32"/>
          <w:szCs w:val="32"/>
        </w:rPr>
        <w:t>18</w:t>
      </w:r>
      <w:r>
        <w:rPr>
          <w:rFonts w:hint="eastAsia" w:ascii="仿宋_GB2312" w:eastAsia="仿宋_GB2312"/>
          <w:spacing w:val="-14"/>
          <w:sz w:val="32"/>
          <w:szCs w:val="32"/>
        </w:rPr>
        <w:t>个村的村庄规划编制。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加快 “一村一品”打造，加速推进双湖典范村建设，完成东桥头等5个宜居村建设。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扎实推进“厕所革命”和“污水革命”，加快粪便处理中心建设，改造公厕40座以上，提高污水管网覆盖率和农村生活污水处理受益率，不断改善人居环境。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打造沿山精品线，实施三海线（石湫头—五磊寺）景观提升工程。</w:t>
      </w:r>
    </w:p>
    <w:p w14:paraId="6B248764">
      <w:pPr>
        <w:spacing w:line="580" w:lineRule="exact"/>
        <w:ind w:firstLine="603" w:firstLineChars="200"/>
        <w:rPr>
          <w:rFonts w:ascii="仿宋_GB2312" w:hAnsi="仿宋_GB2312" w:eastAsia="仿宋_GB2312"/>
          <w:spacing w:val="-14"/>
          <w:sz w:val="32"/>
          <w:szCs w:val="32"/>
        </w:rPr>
      </w:pPr>
      <w:r>
        <w:rPr>
          <w:rFonts w:hint="eastAsia" w:ascii="楷体_GB2312" w:eastAsia="楷体_GB2312"/>
          <w:b/>
          <w:spacing w:val="-10"/>
          <w:sz w:val="32"/>
          <w:szCs w:val="32"/>
        </w:rPr>
        <w:t>（四）更加注重社会保障和文化建设，在民生改善上实现新突破。</w:t>
      </w:r>
      <w:r>
        <w:rPr>
          <w:rFonts w:hint="eastAsia" w:ascii="仿宋_GB2312" w:hAnsi="仿宋_GB2312" w:eastAsia="仿宋_GB2312" w:cs="仿宋_GB2312"/>
          <w:b/>
          <w:bCs/>
          <w:spacing w:val="-14"/>
          <w:sz w:val="32"/>
          <w:szCs w:val="32"/>
        </w:rPr>
        <w:t>着力增强民生保障。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坚持为民办实事长效机制，确保全镇财政支出增量的三分之二以上用于民生事业。设立常态化人力资源招聘场所，确保全年新增就业岗位2500个以上。健全</w:t>
      </w:r>
      <w:r>
        <w:rPr>
          <w:rFonts w:ascii="仿宋_GB2312" w:hAnsi="仿宋_GB2312" w:eastAsia="仿宋_GB2312" w:cs="仿宋_GB2312"/>
          <w:spacing w:val="-14"/>
          <w:sz w:val="32"/>
          <w:szCs w:val="32"/>
        </w:rPr>
        <w:t>1+X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劳动纠纷多元化解机制，确保劳动人事争议案件结案率达到100%。</w:t>
      </w:r>
      <w:r>
        <w:rPr>
          <w:rFonts w:hint="eastAsia" w:ascii="仿宋_GB2312" w:hAnsi="黑体" w:eastAsia="仿宋_GB2312" w:cs="黑体"/>
          <w:spacing w:val="-14"/>
          <w:sz w:val="32"/>
          <w:szCs w:val="22"/>
        </w:rPr>
        <w:t>以“应保尽保”要求扎实推进医保扩面，确保户籍人口养老、医疗保险参保率均保持在99%以上。深化退役军人社会化服务工作，创建新时代枫桥式退役军人服务站。加大优质养老服务供给，新增区域性居家养老服务中心1家。积极推进老年活动中心（室）改造提升。</w:t>
      </w:r>
      <w:r>
        <w:rPr>
          <w:rFonts w:hint="eastAsia" w:ascii="仿宋_GB2312" w:hAnsi="仿宋_GB2312" w:eastAsia="仿宋_GB2312" w:cs="仿宋_GB2312"/>
          <w:b/>
          <w:bCs/>
          <w:spacing w:val="-14"/>
          <w:sz w:val="32"/>
          <w:szCs w:val="32"/>
        </w:rPr>
        <w:t>着力抓好教育卫生。</w:t>
      </w:r>
      <w:r>
        <w:rPr>
          <w:rFonts w:hint="eastAsia" w:ascii="仿宋_GB2312" w:hAnsi="仿宋_GB2312" w:eastAsia="仿宋_GB2312" w:cs="仿宋_GB2312"/>
          <w:bCs/>
          <w:spacing w:val="-14"/>
          <w:sz w:val="32"/>
          <w:szCs w:val="32"/>
        </w:rPr>
        <w:t>规范</w:t>
      </w:r>
      <w:r>
        <w:rPr>
          <w:rFonts w:hint="eastAsia" w:ascii="仿宋_GB2312" w:hAnsi="黑体" w:eastAsia="仿宋_GB2312" w:cs="黑体"/>
          <w:spacing w:val="-14"/>
          <w:sz w:val="32"/>
          <w:szCs w:val="22"/>
        </w:rPr>
        <w:t>提升普惠性学前教育，提高学前教育公办覆盖率，全面消除准办园。结合生源布局优化教育资源配置，促进义务教育均衡发展。鼓励发展优质民办教育，促进教育多元化发展。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继续推进健康村镇建设，新增健康示范村12个，健康家庭300户，完成卫生室规范化和合格化改造15家。加强公共卫生服务人才队伍建设，引导支持社会力量办医和提供健康服务，加快康复医院项目建设。</w:t>
      </w:r>
      <w:r>
        <w:rPr>
          <w:rFonts w:hint="eastAsia" w:ascii="仿宋_GB2312" w:hAnsi="仿宋_GB2312" w:eastAsia="仿宋_GB2312" w:cs="仿宋_GB2312"/>
          <w:b/>
          <w:spacing w:val="-14"/>
          <w:sz w:val="32"/>
          <w:szCs w:val="32"/>
        </w:rPr>
        <w:t>着力发展文体事业。</w:t>
      </w:r>
      <w:r>
        <w:rPr>
          <w:rFonts w:hint="eastAsia" w:ascii="仿宋_GB2312" w:hAnsi="微软雅黑" w:eastAsia="仿宋_GB2312"/>
          <w:spacing w:val="-14"/>
          <w:sz w:val="32"/>
          <w:szCs w:val="32"/>
          <w:shd w:val="clear" w:color="auto" w:fill="FFFFFF"/>
        </w:rPr>
        <w:t>扎实推进各级文明系列创建工作，</w:t>
      </w:r>
      <w:r>
        <w:rPr>
          <w:rFonts w:hint="eastAsia" w:ascii="仿宋_GB2312" w:hAnsi="华文仿宋" w:eastAsia="仿宋_GB2312" w:cs="华文仿宋"/>
          <w:sz w:val="32"/>
          <w:szCs w:val="32"/>
        </w:rPr>
        <w:t>创建宁波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市级文明村</w:t>
      </w:r>
      <w:r>
        <w:rPr>
          <w:rFonts w:hint="eastAsia" w:ascii="仿宋_GB2312" w:hAnsi="黑体" w:eastAsia="仿宋_GB2312" w:cs="黑体"/>
          <w:color w:val="FF0000"/>
          <w:spacing w:val="-14"/>
          <w:sz w:val="32"/>
          <w:szCs w:val="32"/>
        </w:rPr>
        <w:t>2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个以上，慈溪市级文明村</w:t>
      </w:r>
      <w:r>
        <w:rPr>
          <w:rFonts w:hint="eastAsia" w:ascii="仿宋_GB2312" w:hAnsi="黑体" w:eastAsia="仿宋_GB2312" w:cs="黑体"/>
          <w:color w:val="FF0000"/>
          <w:spacing w:val="-14"/>
          <w:sz w:val="32"/>
          <w:szCs w:val="32"/>
        </w:rPr>
        <w:t>3</w:t>
      </w:r>
      <w:r>
        <w:rPr>
          <w:rFonts w:hint="eastAsia" w:ascii="仿宋_GB2312" w:hAnsi="黑体" w:eastAsia="仿宋_GB2312" w:cs="黑体"/>
          <w:spacing w:val="-14"/>
          <w:sz w:val="32"/>
          <w:szCs w:val="32"/>
        </w:rPr>
        <w:t>个以上</w:t>
      </w:r>
      <w:r>
        <w:rPr>
          <w:rFonts w:hint="eastAsia" w:ascii="仿宋_GB2312" w:hAnsi="华文仿宋" w:eastAsia="仿宋_GB2312" w:cs="华文仿宋"/>
          <w:sz w:val="32"/>
          <w:szCs w:val="32"/>
        </w:rPr>
        <w:t>。持续开展“家风家训”践行评选和乡风评议活动，加强道德模范和先进人物的培育选树，营造崇德向善、风清气正的良好社会氛围。</w:t>
      </w:r>
      <w:r>
        <w:rPr>
          <w:rFonts w:hint="eastAsia" w:ascii="仿宋_GB2312" w:hAnsi="仿宋_GB2312" w:eastAsia="仿宋_GB2312"/>
          <w:spacing w:val="-14"/>
          <w:sz w:val="32"/>
          <w:szCs w:val="32"/>
        </w:rPr>
        <w:t>推进文化礼堂“建管用育”一体化发展，新建文化礼堂5家，实现村文化礼堂全覆盖。加强文化中心等文体阵地建设，广泛开展群众性文化活动。开设“海卫讲堂”，讲好观海卫故事。加强文化遗产保护，推进鸣鹤运河桥、新五房等文保点维修。</w:t>
      </w:r>
    </w:p>
    <w:p w14:paraId="70A40682">
      <w:pPr>
        <w:pBdr>
          <w:bottom w:val="single" w:color="FFFFFF" w:sz="4" w:space="31"/>
        </w:pBdr>
        <w:tabs>
          <w:tab w:val="left" w:pos="1440"/>
        </w:tabs>
        <w:spacing w:line="580" w:lineRule="exact"/>
        <w:ind w:firstLine="603" w:firstLineChars="200"/>
        <w:rPr>
          <w:rFonts w:ascii="仿宋_GB2312" w:hAnsi="仿宋_GB2312" w:eastAsia="仿宋_GB2312" w:cs="仿宋_GB2312"/>
          <w:color w:val="FF0000"/>
          <w:spacing w:val="-14"/>
          <w:sz w:val="32"/>
          <w:szCs w:val="32"/>
        </w:rPr>
      </w:pPr>
      <w:r>
        <w:rPr>
          <w:rFonts w:hint="eastAsia" w:ascii="楷体_GB2312" w:eastAsia="楷体_GB2312"/>
          <w:b/>
          <w:spacing w:val="-10"/>
          <w:sz w:val="32"/>
          <w:szCs w:val="32"/>
        </w:rPr>
        <w:t>（五）更加注重信访治理和风险防控，在社会和谐上实现新突破。</w:t>
      </w:r>
      <w:r>
        <w:rPr>
          <w:rFonts w:hint="eastAsia" w:ascii="仿宋_GB2312" w:hAnsi="仿宋_GB2312" w:eastAsia="仿宋_GB2312" w:cs="仿宋_GB2312"/>
          <w:b/>
          <w:bCs/>
          <w:spacing w:val="-14"/>
          <w:sz w:val="32"/>
          <w:szCs w:val="32"/>
        </w:rPr>
        <w:t>强化信访矛盾化解。</w:t>
      </w:r>
      <w:r>
        <w:rPr>
          <w:rFonts w:hint="eastAsia" w:ascii="仿宋_GB2312" w:eastAsia="仿宋_GB2312"/>
          <w:spacing w:val="-14"/>
          <w:sz w:val="32"/>
          <w:szCs w:val="32"/>
        </w:rPr>
        <w:t>充分发挥镇矛盾纠纷多元化解中心作用，</w:t>
      </w:r>
      <w:r>
        <w:rPr>
          <w:rFonts w:hint="eastAsia" w:ascii="仿宋_GB2312" w:hAnsi="仿宋_GB2312" w:eastAsia="仿宋_GB2312"/>
          <w:spacing w:val="-14"/>
          <w:sz w:val="32"/>
          <w:szCs w:val="32"/>
        </w:rPr>
        <w:t>积极推进初信初访和邻里矛盾纠纷信访代办制度，努力实现“矛盾不上交、平安不出事、服务不缺位”。强化信息预警和维稳管控，综合运用宣传教育、约谈、困难帮扶等手段，开展信访积案化解年活动，力争全年化解信访积案16个。落实村书记信访工作第一责任，筑牢村（社区）第一道防线。规范信访工作秩序，依法处置打击违法违规信访行为，切实改善信访生态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b/>
          <w:spacing w:val="-14"/>
          <w:sz w:val="32"/>
          <w:szCs w:val="32"/>
        </w:rPr>
        <w:t>强化社会治安防控。</w:t>
      </w:r>
      <w:r>
        <w:rPr>
          <w:rFonts w:hint="eastAsia" w:ascii="仿宋_GB2312" w:eastAsia="仿宋_GB2312"/>
          <w:spacing w:val="-14"/>
          <w:sz w:val="32"/>
          <w:szCs w:val="32"/>
        </w:rPr>
        <w:t>理顺“一中心四平台全科网格”工作机制，有效提升网格长、专职网格员责任意识和管理能力。深入开展平安系列创建活动，</w:t>
      </w:r>
      <w:r>
        <w:rPr>
          <w:rFonts w:hint="eastAsia" w:ascii="仿宋_GB2312" w:eastAsia="仿宋_GB2312"/>
          <w:bCs/>
          <w:spacing w:val="-14"/>
          <w:sz w:val="32"/>
          <w:szCs w:val="32"/>
        </w:rPr>
        <w:t>深化群防群治建设，完善专业力量巡防和志愿者巡防相结合机制，打造观海卫平安巡防新格局。</w:t>
      </w:r>
      <w:r>
        <w:rPr>
          <w:rFonts w:hint="eastAsia" w:ascii="仿宋_GB2312" w:hAnsi="仿宋_GB2312" w:eastAsia="仿宋_GB2312"/>
          <w:spacing w:val="-14"/>
          <w:sz w:val="32"/>
          <w:szCs w:val="32"/>
        </w:rPr>
        <w:t>完善诉源治理工作机制，打造人民调解、行政调解、司法调解的“大调解”工作格局。深化民族之家“观海卫模式”，提升流动人口服务管理水平。</w:t>
      </w:r>
      <w:r>
        <w:rPr>
          <w:rFonts w:hint="eastAsia" w:ascii="仿宋_GB2312" w:eastAsia="仿宋_GB2312"/>
          <w:spacing w:val="-14"/>
          <w:sz w:val="32"/>
          <w:szCs w:val="32"/>
        </w:rPr>
        <w:t>巩固扩大扫黑除恶</w:t>
      </w:r>
      <w:bookmarkStart w:id="0" w:name="_GoBack"/>
      <w:bookmarkEnd w:id="0"/>
      <w:r>
        <w:rPr>
          <w:rFonts w:hint="eastAsia" w:ascii="仿宋_GB2312" w:eastAsia="仿宋_GB2312"/>
          <w:spacing w:val="-14"/>
          <w:sz w:val="32"/>
          <w:szCs w:val="32"/>
        </w:rPr>
        <w:t>专项斗争成果，重点加强网络（电信）诈骗防范打击力度，不断提升群众安全感。</w:t>
      </w:r>
      <w:r>
        <w:rPr>
          <w:rFonts w:hint="eastAsia" w:ascii="仿宋_GB2312" w:hAnsi="黑体" w:eastAsia="仿宋_GB2312" w:cs="黑体"/>
          <w:b/>
          <w:spacing w:val="-14"/>
          <w:sz w:val="32"/>
          <w:szCs w:val="32"/>
        </w:rPr>
        <w:t>强化公共安全监管。</w:t>
      </w:r>
      <w:r>
        <w:rPr>
          <w:rFonts w:hint="eastAsia" w:ascii="仿宋_GB2312" w:eastAsia="仿宋_GB2312"/>
          <w:spacing w:val="-14"/>
          <w:sz w:val="32"/>
          <w:szCs w:val="32"/>
        </w:rPr>
        <w:t>完善重大疫情防控体制机制，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全力抓好疫情防控各项工作，有效降低疫情风险。</w:t>
      </w:r>
      <w:r>
        <w:rPr>
          <w:rFonts w:hint="eastAsia" w:ascii="仿宋_GB2312" w:eastAsia="仿宋_GB2312"/>
          <w:spacing w:val="-14"/>
          <w:sz w:val="32"/>
          <w:szCs w:val="32"/>
        </w:rPr>
        <w:t>扎实推进公共安全监管体系建设，建立风险管控和隐患排查治理双重预防机制。压实安全生产企业主体责任，加强危化品使用单位、人员密集场所、老旧小区等隐患排查治理。高度重视消防安全，</w:t>
      </w:r>
      <w:r>
        <w:rPr>
          <w:rFonts w:hint="eastAsia" w:ascii="仿宋_GB2312" w:eastAsia="仿宋_GB2312"/>
          <w:bCs/>
          <w:spacing w:val="-14"/>
          <w:sz w:val="32"/>
          <w:szCs w:val="32"/>
        </w:rPr>
        <w:t>加快镇专职综合性消防应急救援队建设，</w:t>
      </w:r>
      <w:r>
        <w:rPr>
          <w:rFonts w:hint="eastAsia" w:ascii="仿宋_GB2312" w:hAnsi="仿宋" w:eastAsia="仿宋_GB2312"/>
          <w:spacing w:val="-14"/>
          <w:sz w:val="32"/>
          <w:szCs w:val="30"/>
        </w:rPr>
        <w:t>开展突发事件应急演练</w:t>
      </w:r>
      <w:r>
        <w:rPr>
          <w:rFonts w:hint="eastAsia" w:ascii="仿宋_GB2312" w:eastAsia="仿宋_GB2312"/>
          <w:spacing w:val="-14"/>
          <w:sz w:val="32"/>
          <w:szCs w:val="32"/>
        </w:rPr>
        <w:t>，提升应急处置能力。优化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防汛防台抗旱应急体系，完成银山北地质灾害隐患点</w:t>
      </w:r>
      <w:r>
        <w:rPr>
          <w:rFonts w:hint="eastAsia" w:ascii="仿宋_GB2312" w:eastAsia="仿宋_GB2312"/>
          <w:bCs/>
          <w:spacing w:val="-14"/>
          <w:sz w:val="32"/>
          <w:szCs w:val="32"/>
        </w:rPr>
        <w:t>治理。切实加强交通安全管理，从严构建食品药品安全屏障。</w:t>
      </w:r>
    </w:p>
    <w:p w14:paraId="75A70024">
      <w:pPr>
        <w:pBdr>
          <w:bottom w:val="single" w:color="FFFFFF" w:sz="4" w:space="31"/>
        </w:pBdr>
        <w:tabs>
          <w:tab w:val="left" w:pos="1440"/>
        </w:tabs>
        <w:spacing w:line="580" w:lineRule="exact"/>
        <w:ind w:firstLine="603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楷体_GB2312" w:eastAsia="楷体_GB2312"/>
          <w:b/>
          <w:spacing w:val="-10"/>
          <w:sz w:val="32"/>
          <w:szCs w:val="32"/>
        </w:rPr>
        <w:t>（六）更加注重职能转变和服务优化，在自身建设上实现新突破。</w:t>
      </w:r>
      <w:r>
        <w:rPr>
          <w:rFonts w:hint="eastAsia" w:ascii="仿宋_GB2312" w:eastAsia="仿宋_GB2312"/>
          <w:b/>
          <w:bCs/>
          <w:spacing w:val="-14"/>
          <w:sz w:val="32"/>
          <w:szCs w:val="32"/>
        </w:rPr>
        <w:t>强化担当作为，马上干务实干。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巩固“不忘初心、牢记使命”主题教育成果，健全长效机制，不断提升政府公信力。深化</w:t>
      </w:r>
      <w:r>
        <w:rPr>
          <w:rFonts w:hint="eastAsia" w:ascii="仿宋_GB2312" w:eastAsia="仿宋_GB2312"/>
          <w:spacing w:val="-14"/>
          <w:sz w:val="32"/>
          <w:szCs w:val="32"/>
        </w:rPr>
        <w:t>“最多跑一次”改革，持续推进“无差别全科受理”，</w:t>
      </w:r>
      <w:r>
        <w:rPr>
          <w:rFonts w:hint="eastAsia" w:ascii="仿宋_GB2312" w:hAnsi="仿宋" w:eastAsia="仿宋_GB2312"/>
          <w:spacing w:val="-14"/>
          <w:sz w:val="32"/>
          <w:szCs w:val="32"/>
          <w:shd w:val="clear" w:color="auto" w:fill="FFFFFF"/>
        </w:rPr>
        <w:t>完善村（社区）便民服务平台建设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扎实推进“一事联办”，推动“窗口办”向“网上办”、“智能办”转型。深入开展“三服务”</w:t>
      </w:r>
      <w:r>
        <w:rPr>
          <w:rFonts w:hint="eastAsia" w:ascii="仿宋_GB2312" w:eastAsia="仿宋_GB2312"/>
          <w:spacing w:val="-14"/>
          <w:sz w:val="32"/>
          <w:szCs w:val="32"/>
        </w:rPr>
        <w:t>活动，</w:t>
      </w:r>
      <w:r>
        <w:rPr>
          <w:rFonts w:hint="eastAsia" w:ascii="仿宋_GB2312" w:hAnsi="仿宋" w:eastAsia="仿宋_GB2312" w:cs="宋体"/>
          <w:spacing w:val="-20"/>
          <w:kern w:val="0"/>
          <w:sz w:val="32"/>
          <w:szCs w:val="32"/>
        </w:rPr>
        <w:t>切实帮助企业、群众、基层解决实际困难和问题</w:t>
      </w:r>
      <w:r>
        <w:rPr>
          <w:rFonts w:hint="eastAsia" w:ascii="仿宋_GB2312" w:eastAsia="仿宋_GB2312"/>
          <w:spacing w:val="-14"/>
          <w:sz w:val="32"/>
          <w:szCs w:val="32"/>
        </w:rPr>
        <w:t>。</w:t>
      </w:r>
      <w:r>
        <w:rPr>
          <w:rFonts w:ascii="仿宋_GB2312" w:hAnsi="微软雅黑" w:eastAsia="仿宋_GB2312"/>
          <w:spacing w:val="-14"/>
          <w:sz w:val="32"/>
          <w:szCs w:val="32"/>
        </w:rPr>
        <w:t>完善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联企工作机制，</w:t>
      </w:r>
      <w:r>
        <w:rPr>
          <w:rFonts w:hint="eastAsia" w:ascii="仿宋_GB2312" w:eastAsia="仿宋_GB2312"/>
          <w:spacing w:val="-14"/>
          <w:sz w:val="32"/>
          <w:szCs w:val="32"/>
        </w:rPr>
        <w:t>构建“亲”“清”新型政商关系。</w:t>
      </w:r>
      <w:r>
        <w:rPr>
          <w:rFonts w:hint="eastAsia" w:ascii="仿宋_GB2312" w:eastAsia="仿宋_GB2312"/>
          <w:b/>
          <w:bCs/>
          <w:spacing w:val="-14"/>
          <w:sz w:val="32"/>
          <w:szCs w:val="32"/>
        </w:rPr>
        <w:t>严格依法行政，讲规矩讲法治。</w:t>
      </w:r>
      <w:r>
        <w:rPr>
          <w:rFonts w:hint="eastAsia" w:ascii="仿宋_GB2312" w:eastAsia="仿宋_GB2312"/>
          <w:spacing w:val="-14"/>
          <w:sz w:val="32"/>
          <w:szCs w:val="32"/>
        </w:rPr>
        <w:t>完善依法行政制度体系，加强行政规范性文件和行政合同备案审查。严格落实重大决策社会风险评估工作，提高决策科学化民主化水平。依法接受镇人大主席团和政协联络委的监督，主动接受社会和舆论监督，高质量办理人大代表建议提案，加快民生实事项目建设。</w:t>
      </w:r>
      <w:r>
        <w:rPr>
          <w:rFonts w:hint="eastAsia" w:ascii="仿宋_GB2312" w:eastAsia="仿宋_GB2312"/>
          <w:sz w:val="32"/>
          <w:szCs w:val="32"/>
        </w:rPr>
        <w:t>健全政务公开工作机制，深化重点领域信息公开，加强政策解读和关切回应，提高政务服务水平。</w:t>
      </w:r>
      <w:r>
        <w:rPr>
          <w:rFonts w:hint="eastAsia" w:ascii="仿宋_GB2312" w:eastAsia="仿宋_GB2312"/>
          <w:b/>
          <w:bCs/>
          <w:spacing w:val="-14"/>
          <w:sz w:val="32"/>
          <w:szCs w:val="32"/>
        </w:rPr>
        <w:t>加强廉洁自律，筑防线守底线。</w:t>
      </w:r>
      <w:r>
        <w:rPr>
          <w:rFonts w:hint="eastAsia" w:ascii="仿宋_GB2312" w:eastAsia="仿宋_GB2312"/>
          <w:spacing w:val="-14"/>
          <w:sz w:val="32"/>
          <w:szCs w:val="32"/>
        </w:rPr>
        <w:t>认真贯彻全面从严治党要求，进一步深化村级小微权力清单制度，切实推动主体责任向农村基层深入延伸。强化公共资源交易管理，坚持和巩固重要招投标项目双向联络制，加强对村级公共资源交易的指导，引导村级资产交易项目进入平台，推动公共资源阳光交易</w:t>
      </w:r>
      <w:r>
        <w:rPr>
          <w:rFonts w:hint="eastAsia" w:ascii="仿宋_GB2312" w:hAnsi="微软雅黑" w:eastAsia="仿宋_GB2312"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spacing w:val="-14"/>
          <w:sz w:val="32"/>
          <w:szCs w:val="32"/>
        </w:rPr>
        <w:t>严肃财经纪律，加强财务收支审计和绩效评价</w:t>
      </w:r>
      <w:r>
        <w:rPr>
          <w:rFonts w:hint="eastAsia" w:ascii="仿宋_GB2312" w:hAnsi="Calibri" w:eastAsia="仿宋_GB2312"/>
          <w:spacing w:val="-14"/>
          <w:sz w:val="32"/>
          <w:szCs w:val="32"/>
        </w:rPr>
        <w:t>。</w:t>
      </w:r>
      <w:r>
        <w:rPr>
          <w:rFonts w:hint="eastAsia" w:ascii="仿宋_GB2312" w:eastAsia="仿宋_GB2312"/>
          <w:spacing w:val="-14"/>
          <w:sz w:val="32"/>
          <w:szCs w:val="32"/>
        </w:rPr>
        <w:t>严控“三公”经费支出，推进节约型政府建设</w:t>
      </w:r>
      <w:r>
        <w:rPr>
          <w:rFonts w:hint="eastAsia" w:ascii="仿宋_GB2312" w:hAnsi="Calibri" w:eastAsia="仿宋_GB2312"/>
          <w:spacing w:val="-14"/>
          <w:sz w:val="32"/>
          <w:szCs w:val="32"/>
        </w:rPr>
        <w:t>。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16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??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94F80">
    <w:pPr>
      <w:pStyle w:val="2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0A72C1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OzyskBAACZAwAADgAAAGRycy9lMm9Eb2MueG1srVPNjtMwEL4j8Q6W&#10;79Rph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MQ7P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0A72C1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26720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1421E0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mLMpMkBAACZ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Ysy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1421E0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NTU4Yzg2ZDg0OTE1ZjViNDBjMWUwZjFlOTA2MjAifQ=="/>
  </w:docVars>
  <w:rsids>
    <w:rsidRoot w:val="00FB5989"/>
    <w:rsid w:val="0000290D"/>
    <w:rsid w:val="00002F6B"/>
    <w:rsid w:val="000177AB"/>
    <w:rsid w:val="00021DBB"/>
    <w:rsid w:val="000311B3"/>
    <w:rsid w:val="00060325"/>
    <w:rsid w:val="00065719"/>
    <w:rsid w:val="0006612E"/>
    <w:rsid w:val="00083B01"/>
    <w:rsid w:val="000952FC"/>
    <w:rsid w:val="000B1EB4"/>
    <w:rsid w:val="000B4B78"/>
    <w:rsid w:val="000C1AC6"/>
    <w:rsid w:val="000C441B"/>
    <w:rsid w:val="000C6DDD"/>
    <w:rsid w:val="000D12DD"/>
    <w:rsid w:val="000D5ED2"/>
    <w:rsid w:val="000E0DE5"/>
    <w:rsid w:val="00101369"/>
    <w:rsid w:val="00102621"/>
    <w:rsid w:val="001051B5"/>
    <w:rsid w:val="00105AEF"/>
    <w:rsid w:val="00133B42"/>
    <w:rsid w:val="001364FA"/>
    <w:rsid w:val="00143DFF"/>
    <w:rsid w:val="00144690"/>
    <w:rsid w:val="001519C9"/>
    <w:rsid w:val="00152C45"/>
    <w:rsid w:val="0015668C"/>
    <w:rsid w:val="00156D12"/>
    <w:rsid w:val="00163FFA"/>
    <w:rsid w:val="00173677"/>
    <w:rsid w:val="00174304"/>
    <w:rsid w:val="0019084F"/>
    <w:rsid w:val="0019086C"/>
    <w:rsid w:val="00197768"/>
    <w:rsid w:val="001A16F7"/>
    <w:rsid w:val="001B352B"/>
    <w:rsid w:val="001B7E1B"/>
    <w:rsid w:val="001C0078"/>
    <w:rsid w:val="001C127B"/>
    <w:rsid w:val="001C3881"/>
    <w:rsid w:val="001C732B"/>
    <w:rsid w:val="001D367E"/>
    <w:rsid w:val="001D4A20"/>
    <w:rsid w:val="002006FD"/>
    <w:rsid w:val="002062B6"/>
    <w:rsid w:val="00210B72"/>
    <w:rsid w:val="002137D8"/>
    <w:rsid w:val="00214E5D"/>
    <w:rsid w:val="00216404"/>
    <w:rsid w:val="002202A3"/>
    <w:rsid w:val="002223E3"/>
    <w:rsid w:val="00224C1D"/>
    <w:rsid w:val="00234390"/>
    <w:rsid w:val="00245447"/>
    <w:rsid w:val="00262CAA"/>
    <w:rsid w:val="00271B1B"/>
    <w:rsid w:val="00274512"/>
    <w:rsid w:val="00274525"/>
    <w:rsid w:val="0028055B"/>
    <w:rsid w:val="002834E0"/>
    <w:rsid w:val="00296AE0"/>
    <w:rsid w:val="002976B1"/>
    <w:rsid w:val="002C3583"/>
    <w:rsid w:val="002C7544"/>
    <w:rsid w:val="002D0CE9"/>
    <w:rsid w:val="002D77A5"/>
    <w:rsid w:val="002F01E6"/>
    <w:rsid w:val="002F0DB1"/>
    <w:rsid w:val="002F440D"/>
    <w:rsid w:val="002F55EC"/>
    <w:rsid w:val="00312C33"/>
    <w:rsid w:val="0031635D"/>
    <w:rsid w:val="003174F4"/>
    <w:rsid w:val="003366A3"/>
    <w:rsid w:val="003444BF"/>
    <w:rsid w:val="00347B0D"/>
    <w:rsid w:val="00364F05"/>
    <w:rsid w:val="00372FAD"/>
    <w:rsid w:val="00381CF7"/>
    <w:rsid w:val="003917D1"/>
    <w:rsid w:val="003920C6"/>
    <w:rsid w:val="003A0050"/>
    <w:rsid w:val="003A1391"/>
    <w:rsid w:val="003B24BF"/>
    <w:rsid w:val="003C1DB9"/>
    <w:rsid w:val="003C2354"/>
    <w:rsid w:val="003D5322"/>
    <w:rsid w:val="003D572D"/>
    <w:rsid w:val="003E5E08"/>
    <w:rsid w:val="003F42B6"/>
    <w:rsid w:val="0040294A"/>
    <w:rsid w:val="0040783F"/>
    <w:rsid w:val="00426B60"/>
    <w:rsid w:val="004350D7"/>
    <w:rsid w:val="00435FBA"/>
    <w:rsid w:val="0044113F"/>
    <w:rsid w:val="004507FF"/>
    <w:rsid w:val="0045213E"/>
    <w:rsid w:val="00455736"/>
    <w:rsid w:val="00460964"/>
    <w:rsid w:val="004610DA"/>
    <w:rsid w:val="00477430"/>
    <w:rsid w:val="004775BC"/>
    <w:rsid w:val="00477AF2"/>
    <w:rsid w:val="0048099A"/>
    <w:rsid w:val="004821A9"/>
    <w:rsid w:val="0048714D"/>
    <w:rsid w:val="004A0ADB"/>
    <w:rsid w:val="004A46D5"/>
    <w:rsid w:val="004B2231"/>
    <w:rsid w:val="004C3056"/>
    <w:rsid w:val="004C53BC"/>
    <w:rsid w:val="004D1BEC"/>
    <w:rsid w:val="004E3017"/>
    <w:rsid w:val="004E6C9A"/>
    <w:rsid w:val="004F1FCF"/>
    <w:rsid w:val="004F23FD"/>
    <w:rsid w:val="004F47FF"/>
    <w:rsid w:val="00504D67"/>
    <w:rsid w:val="00517B93"/>
    <w:rsid w:val="005212FC"/>
    <w:rsid w:val="005354FF"/>
    <w:rsid w:val="00541B88"/>
    <w:rsid w:val="0054758D"/>
    <w:rsid w:val="0056150C"/>
    <w:rsid w:val="005626CC"/>
    <w:rsid w:val="00571E51"/>
    <w:rsid w:val="00577736"/>
    <w:rsid w:val="00594459"/>
    <w:rsid w:val="005A5517"/>
    <w:rsid w:val="005B0DC7"/>
    <w:rsid w:val="005B4B7A"/>
    <w:rsid w:val="005C1276"/>
    <w:rsid w:val="005C2833"/>
    <w:rsid w:val="005C45A8"/>
    <w:rsid w:val="005D11C4"/>
    <w:rsid w:val="005E08EA"/>
    <w:rsid w:val="005F1772"/>
    <w:rsid w:val="005F3FA3"/>
    <w:rsid w:val="00635EA4"/>
    <w:rsid w:val="0064454E"/>
    <w:rsid w:val="00663A39"/>
    <w:rsid w:val="00670A6E"/>
    <w:rsid w:val="00681AA0"/>
    <w:rsid w:val="00682311"/>
    <w:rsid w:val="00683C08"/>
    <w:rsid w:val="00683EA1"/>
    <w:rsid w:val="00684F50"/>
    <w:rsid w:val="006953B5"/>
    <w:rsid w:val="006959E7"/>
    <w:rsid w:val="00695FDC"/>
    <w:rsid w:val="00696444"/>
    <w:rsid w:val="006A7B9D"/>
    <w:rsid w:val="006A7CBA"/>
    <w:rsid w:val="006B0577"/>
    <w:rsid w:val="006B2853"/>
    <w:rsid w:val="006B6FD4"/>
    <w:rsid w:val="006D3E9D"/>
    <w:rsid w:val="006D6838"/>
    <w:rsid w:val="006D6D80"/>
    <w:rsid w:val="006D764D"/>
    <w:rsid w:val="006E4AC2"/>
    <w:rsid w:val="006E6300"/>
    <w:rsid w:val="006F165B"/>
    <w:rsid w:val="006F38E6"/>
    <w:rsid w:val="00711D7F"/>
    <w:rsid w:val="0072440C"/>
    <w:rsid w:val="00725F5B"/>
    <w:rsid w:val="007407FB"/>
    <w:rsid w:val="00745952"/>
    <w:rsid w:val="0076428D"/>
    <w:rsid w:val="00767330"/>
    <w:rsid w:val="007673D4"/>
    <w:rsid w:val="00767DB9"/>
    <w:rsid w:val="00775BA9"/>
    <w:rsid w:val="00776FC0"/>
    <w:rsid w:val="00781450"/>
    <w:rsid w:val="007851F8"/>
    <w:rsid w:val="00797AE3"/>
    <w:rsid w:val="007B4136"/>
    <w:rsid w:val="007C0171"/>
    <w:rsid w:val="007C07AC"/>
    <w:rsid w:val="007D65DE"/>
    <w:rsid w:val="007D6C56"/>
    <w:rsid w:val="007D76D0"/>
    <w:rsid w:val="007E0337"/>
    <w:rsid w:val="007E23B6"/>
    <w:rsid w:val="007E7D03"/>
    <w:rsid w:val="007F026B"/>
    <w:rsid w:val="007F2B06"/>
    <w:rsid w:val="007F2ED6"/>
    <w:rsid w:val="007F6D24"/>
    <w:rsid w:val="008147A2"/>
    <w:rsid w:val="00825B23"/>
    <w:rsid w:val="00830D2A"/>
    <w:rsid w:val="008344CE"/>
    <w:rsid w:val="0083463C"/>
    <w:rsid w:val="00835001"/>
    <w:rsid w:val="00840273"/>
    <w:rsid w:val="00853E33"/>
    <w:rsid w:val="00854695"/>
    <w:rsid w:val="00854C12"/>
    <w:rsid w:val="00871D15"/>
    <w:rsid w:val="00884DE9"/>
    <w:rsid w:val="008906E5"/>
    <w:rsid w:val="008926FA"/>
    <w:rsid w:val="0089363C"/>
    <w:rsid w:val="00893964"/>
    <w:rsid w:val="008B3DBA"/>
    <w:rsid w:val="008E47CA"/>
    <w:rsid w:val="008E5A80"/>
    <w:rsid w:val="008F205A"/>
    <w:rsid w:val="00905FF6"/>
    <w:rsid w:val="00920ABC"/>
    <w:rsid w:val="00930D29"/>
    <w:rsid w:val="00931A2F"/>
    <w:rsid w:val="00932A4B"/>
    <w:rsid w:val="00943277"/>
    <w:rsid w:val="0094371D"/>
    <w:rsid w:val="009501CF"/>
    <w:rsid w:val="0097132D"/>
    <w:rsid w:val="00972676"/>
    <w:rsid w:val="00981C6C"/>
    <w:rsid w:val="009943EA"/>
    <w:rsid w:val="009A2AFF"/>
    <w:rsid w:val="009A4CF4"/>
    <w:rsid w:val="009A67BA"/>
    <w:rsid w:val="009A6CAB"/>
    <w:rsid w:val="009A7923"/>
    <w:rsid w:val="009D263E"/>
    <w:rsid w:val="009F4756"/>
    <w:rsid w:val="00A00792"/>
    <w:rsid w:val="00A01A07"/>
    <w:rsid w:val="00A16140"/>
    <w:rsid w:val="00A2201B"/>
    <w:rsid w:val="00A4212E"/>
    <w:rsid w:val="00A45F18"/>
    <w:rsid w:val="00A477D1"/>
    <w:rsid w:val="00A52BFA"/>
    <w:rsid w:val="00A534E2"/>
    <w:rsid w:val="00A54229"/>
    <w:rsid w:val="00A62EE7"/>
    <w:rsid w:val="00A63124"/>
    <w:rsid w:val="00A6352B"/>
    <w:rsid w:val="00A664FA"/>
    <w:rsid w:val="00A76D6F"/>
    <w:rsid w:val="00A80C23"/>
    <w:rsid w:val="00A955D0"/>
    <w:rsid w:val="00AA7394"/>
    <w:rsid w:val="00AB1C69"/>
    <w:rsid w:val="00AB3DE1"/>
    <w:rsid w:val="00AB74F4"/>
    <w:rsid w:val="00AC5D47"/>
    <w:rsid w:val="00AC7C4C"/>
    <w:rsid w:val="00AE4529"/>
    <w:rsid w:val="00AF3F8B"/>
    <w:rsid w:val="00B0037B"/>
    <w:rsid w:val="00B159B3"/>
    <w:rsid w:val="00B306EF"/>
    <w:rsid w:val="00B327DD"/>
    <w:rsid w:val="00B331D6"/>
    <w:rsid w:val="00B34704"/>
    <w:rsid w:val="00B516DE"/>
    <w:rsid w:val="00B57995"/>
    <w:rsid w:val="00B706E4"/>
    <w:rsid w:val="00B8393B"/>
    <w:rsid w:val="00B83D52"/>
    <w:rsid w:val="00B8476C"/>
    <w:rsid w:val="00B96848"/>
    <w:rsid w:val="00B97251"/>
    <w:rsid w:val="00BA7573"/>
    <w:rsid w:val="00BB3491"/>
    <w:rsid w:val="00BB56C4"/>
    <w:rsid w:val="00BB6E91"/>
    <w:rsid w:val="00BD0C55"/>
    <w:rsid w:val="00BF07D2"/>
    <w:rsid w:val="00BF3B20"/>
    <w:rsid w:val="00BF54DE"/>
    <w:rsid w:val="00C024D9"/>
    <w:rsid w:val="00C02C84"/>
    <w:rsid w:val="00C037A3"/>
    <w:rsid w:val="00C069DA"/>
    <w:rsid w:val="00C06E0C"/>
    <w:rsid w:val="00C14D5C"/>
    <w:rsid w:val="00C321D7"/>
    <w:rsid w:val="00C45766"/>
    <w:rsid w:val="00C642A9"/>
    <w:rsid w:val="00C70230"/>
    <w:rsid w:val="00C85179"/>
    <w:rsid w:val="00C92649"/>
    <w:rsid w:val="00CA67F7"/>
    <w:rsid w:val="00CB3EEA"/>
    <w:rsid w:val="00CB48FC"/>
    <w:rsid w:val="00CC163F"/>
    <w:rsid w:val="00CD603B"/>
    <w:rsid w:val="00CE0851"/>
    <w:rsid w:val="00CE4262"/>
    <w:rsid w:val="00D125A4"/>
    <w:rsid w:val="00D32146"/>
    <w:rsid w:val="00D35486"/>
    <w:rsid w:val="00D35D35"/>
    <w:rsid w:val="00D36E57"/>
    <w:rsid w:val="00D427E7"/>
    <w:rsid w:val="00D470E9"/>
    <w:rsid w:val="00D520FA"/>
    <w:rsid w:val="00D71F4E"/>
    <w:rsid w:val="00D722B8"/>
    <w:rsid w:val="00D730AA"/>
    <w:rsid w:val="00D7579B"/>
    <w:rsid w:val="00D86543"/>
    <w:rsid w:val="00D90806"/>
    <w:rsid w:val="00D936EA"/>
    <w:rsid w:val="00D94947"/>
    <w:rsid w:val="00DA1816"/>
    <w:rsid w:val="00DA2C75"/>
    <w:rsid w:val="00DB5468"/>
    <w:rsid w:val="00DB7B59"/>
    <w:rsid w:val="00DC69F1"/>
    <w:rsid w:val="00DD19DA"/>
    <w:rsid w:val="00DD2CBB"/>
    <w:rsid w:val="00DD467A"/>
    <w:rsid w:val="00DE354F"/>
    <w:rsid w:val="00DF03DF"/>
    <w:rsid w:val="00DF5DFA"/>
    <w:rsid w:val="00E02A17"/>
    <w:rsid w:val="00E06AB4"/>
    <w:rsid w:val="00E35AE7"/>
    <w:rsid w:val="00E4158B"/>
    <w:rsid w:val="00E471B7"/>
    <w:rsid w:val="00E52791"/>
    <w:rsid w:val="00E52C5B"/>
    <w:rsid w:val="00E54A94"/>
    <w:rsid w:val="00E5784F"/>
    <w:rsid w:val="00E6044C"/>
    <w:rsid w:val="00E60509"/>
    <w:rsid w:val="00E635A6"/>
    <w:rsid w:val="00E65813"/>
    <w:rsid w:val="00E67CA9"/>
    <w:rsid w:val="00E741FA"/>
    <w:rsid w:val="00E82206"/>
    <w:rsid w:val="00E82B2D"/>
    <w:rsid w:val="00E965DB"/>
    <w:rsid w:val="00E96BE9"/>
    <w:rsid w:val="00EA3205"/>
    <w:rsid w:val="00EA6404"/>
    <w:rsid w:val="00EB67F5"/>
    <w:rsid w:val="00ED0D65"/>
    <w:rsid w:val="00EE7215"/>
    <w:rsid w:val="00EF2C62"/>
    <w:rsid w:val="00EF5611"/>
    <w:rsid w:val="00F1412C"/>
    <w:rsid w:val="00F2347D"/>
    <w:rsid w:val="00F335AA"/>
    <w:rsid w:val="00F34E12"/>
    <w:rsid w:val="00F37E32"/>
    <w:rsid w:val="00F40022"/>
    <w:rsid w:val="00F4016E"/>
    <w:rsid w:val="00F46427"/>
    <w:rsid w:val="00F50B2C"/>
    <w:rsid w:val="00F61BE2"/>
    <w:rsid w:val="00F65028"/>
    <w:rsid w:val="00F656CE"/>
    <w:rsid w:val="00F65B2C"/>
    <w:rsid w:val="00F8149B"/>
    <w:rsid w:val="00F83EED"/>
    <w:rsid w:val="00F870B9"/>
    <w:rsid w:val="00F90B64"/>
    <w:rsid w:val="00F929AA"/>
    <w:rsid w:val="00F95C06"/>
    <w:rsid w:val="00FA55BB"/>
    <w:rsid w:val="00FA7702"/>
    <w:rsid w:val="00FB1596"/>
    <w:rsid w:val="00FB4166"/>
    <w:rsid w:val="00FB5989"/>
    <w:rsid w:val="00FC2FF4"/>
    <w:rsid w:val="00FD450B"/>
    <w:rsid w:val="00FE4A50"/>
    <w:rsid w:val="00FF4F04"/>
    <w:rsid w:val="00FF6441"/>
    <w:rsid w:val="00FF7258"/>
    <w:rsid w:val="022B0650"/>
    <w:rsid w:val="02DD7E90"/>
    <w:rsid w:val="033C405D"/>
    <w:rsid w:val="07921D65"/>
    <w:rsid w:val="0AAF4AC8"/>
    <w:rsid w:val="0E601D74"/>
    <w:rsid w:val="10991E9A"/>
    <w:rsid w:val="130712A8"/>
    <w:rsid w:val="189E5E3F"/>
    <w:rsid w:val="1B9A2007"/>
    <w:rsid w:val="1D11677E"/>
    <w:rsid w:val="1E5774DD"/>
    <w:rsid w:val="21906AD9"/>
    <w:rsid w:val="257F71CB"/>
    <w:rsid w:val="27C044C7"/>
    <w:rsid w:val="29E13572"/>
    <w:rsid w:val="2A7671FD"/>
    <w:rsid w:val="2BA4128B"/>
    <w:rsid w:val="2E303E57"/>
    <w:rsid w:val="31BF5D3C"/>
    <w:rsid w:val="32FB4B97"/>
    <w:rsid w:val="37712C8C"/>
    <w:rsid w:val="37965442"/>
    <w:rsid w:val="39347F73"/>
    <w:rsid w:val="3D26796C"/>
    <w:rsid w:val="3F920AE9"/>
    <w:rsid w:val="436E0893"/>
    <w:rsid w:val="44526E26"/>
    <w:rsid w:val="48DF3436"/>
    <w:rsid w:val="494137A6"/>
    <w:rsid w:val="49A307B2"/>
    <w:rsid w:val="4AB6651B"/>
    <w:rsid w:val="4E624E7A"/>
    <w:rsid w:val="52C53FCB"/>
    <w:rsid w:val="56193755"/>
    <w:rsid w:val="5B7A2F8A"/>
    <w:rsid w:val="61153319"/>
    <w:rsid w:val="613A0E00"/>
    <w:rsid w:val="630C5066"/>
    <w:rsid w:val="637E1B15"/>
    <w:rsid w:val="64210882"/>
    <w:rsid w:val="66FD2E2B"/>
    <w:rsid w:val="69FB22EF"/>
    <w:rsid w:val="6A9736C3"/>
    <w:rsid w:val="6D6A3D08"/>
    <w:rsid w:val="78911B66"/>
    <w:rsid w:val="7DBFAD73"/>
    <w:rsid w:val="7E9B67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0"/>
    <w:basedOn w:val="1"/>
    <w:qFormat/>
    <w:uiPriority w:val="99"/>
    <w:pPr>
      <w:widowControl/>
      <w:snapToGrid w:val="0"/>
    </w:pPr>
    <w:rPr>
      <w:kern w:val="0"/>
      <w:szCs w:val="21"/>
    </w:rPr>
  </w:style>
  <w:style w:type="character" w:customStyle="1" w:styleId="8">
    <w:name w:val="页眉 Char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7395</Words>
  <Characters>7642</Characters>
  <Lines>54</Lines>
  <Paragraphs>15</Paragraphs>
  <TotalTime>784</TotalTime>
  <ScaleCrop>false</ScaleCrop>
  <LinksUpToDate>false</LinksUpToDate>
  <CharactersWithSpaces>7645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2020-07-16T16:20:00Z</dcterms:created>
  <dc:creator>Administrator</dc:creator>
  <cp:lastModifiedBy>飘飘飘</cp:lastModifiedBy>
  <cp:lastPrinted>2020-07-24T08:21:00Z</cp:lastPrinted>
  <dcterms:modified xsi:type="dcterms:W3CDTF">2025-04-28T11:57:11Z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7DED18779369430189F2618CF6E6A072</vt:lpwstr>
  </property>
</Properties>
</file>