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1DDB8F">
      <w:pPr>
        <w:spacing w:line="58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2020年度工作总结和2021年度工作安排</w:t>
      </w:r>
    </w:p>
    <w:p w14:paraId="033D4B01">
      <w:pPr>
        <w:spacing w:line="570" w:lineRule="exact"/>
        <w:rPr>
          <w:rFonts w:ascii="仿宋_GB2312" w:eastAsia="仿宋_GB2312"/>
          <w:sz w:val="32"/>
          <w:szCs w:val="32"/>
        </w:rPr>
      </w:pPr>
    </w:p>
    <w:p w14:paraId="668227B8">
      <w:pPr>
        <w:spacing w:line="570" w:lineRule="exact"/>
        <w:jc w:val="center"/>
        <w:rPr>
          <w:rFonts w:ascii="黑体" w:hAnsi="黑体" w:eastAsia="黑体"/>
          <w:sz w:val="32"/>
          <w:szCs w:val="32"/>
        </w:rPr>
      </w:pPr>
      <w:r>
        <w:rPr>
          <w:rFonts w:hint="eastAsia" w:ascii="黑体" w:hAnsi="黑体" w:eastAsia="黑体"/>
          <w:sz w:val="32"/>
          <w:szCs w:val="32"/>
        </w:rPr>
        <w:t>一、2020年工作回顾</w:t>
      </w:r>
    </w:p>
    <w:p w14:paraId="58243D11">
      <w:pPr>
        <w:spacing w:line="570" w:lineRule="exact"/>
        <w:rPr>
          <w:rFonts w:ascii="仿宋_GB2312" w:eastAsia="仿宋_GB2312"/>
          <w:sz w:val="32"/>
          <w:szCs w:val="32"/>
        </w:rPr>
      </w:pPr>
    </w:p>
    <w:p w14:paraId="588A3FA0">
      <w:pPr>
        <w:spacing w:line="570" w:lineRule="exact"/>
        <w:rPr>
          <w:rFonts w:eastAsia="仿宋_GB2312"/>
          <w:sz w:val="32"/>
          <w:szCs w:val="32"/>
        </w:rPr>
      </w:pPr>
      <w:r>
        <w:rPr>
          <w:rFonts w:hint="eastAsia" w:ascii="仿宋_GB2312" w:eastAsia="仿宋_GB2312"/>
          <w:sz w:val="32"/>
          <w:szCs w:val="32"/>
        </w:rPr>
        <w:t xml:space="preserve">   </w:t>
      </w:r>
      <w:r>
        <w:rPr>
          <w:rFonts w:eastAsia="仿宋_GB2312"/>
          <w:sz w:val="32"/>
          <w:szCs w:val="32"/>
        </w:rPr>
        <w:t xml:space="preserve"> 2020年，是决胜全面建成小康社会、决战脱贫攻坚之年。</w:t>
      </w:r>
      <w:r>
        <w:rPr>
          <w:rFonts w:hint="eastAsia" w:eastAsia="仿宋_GB2312"/>
          <w:sz w:val="32"/>
          <w:szCs w:val="32"/>
        </w:rPr>
        <w:t>我镇</w:t>
      </w:r>
      <w:r>
        <w:rPr>
          <w:rFonts w:eastAsia="仿宋_GB2312"/>
          <w:sz w:val="32"/>
          <w:szCs w:val="32"/>
        </w:rPr>
        <w:t>贯彻落实“六争攻坚、三年攀高”和“三争三拼、六大赶超”工作部署，紧紧围绕“加快宁波都市区现代化小城市建设”的目标，以“</w:t>
      </w:r>
      <w:r>
        <w:rPr>
          <w:rFonts w:eastAsia="仿宋_GB2312"/>
          <w:sz w:val="32"/>
        </w:rPr>
        <w:t>重点项目攻坚年、城市治理突破年、基层组织提升年</w:t>
      </w:r>
      <w:r>
        <w:rPr>
          <w:rFonts w:eastAsia="仿宋_GB2312"/>
          <w:sz w:val="32"/>
          <w:szCs w:val="32"/>
        </w:rPr>
        <w:t>”</w:t>
      </w:r>
      <w:r>
        <w:rPr>
          <w:rFonts w:eastAsia="仿宋_GB2312"/>
          <w:sz w:val="32"/>
        </w:rPr>
        <w:t>为主抓手，</w:t>
      </w:r>
      <w:r>
        <w:rPr>
          <w:rFonts w:eastAsia="仿宋_GB2312"/>
          <w:sz w:val="32"/>
          <w:szCs w:val="32"/>
        </w:rPr>
        <w:t>统筹推进疫情防控和经济社会发展，实现了“十三五”的圆满收官。全年实现地区生产总值135.4亿元，同比增长4.04%</w:t>
      </w:r>
      <w:r>
        <w:rPr>
          <w:rFonts w:hint="eastAsia" w:eastAsia="仿宋_GB2312"/>
          <w:sz w:val="32"/>
          <w:szCs w:val="32"/>
        </w:rPr>
        <w:t>（</w:t>
      </w:r>
      <w:r>
        <w:rPr>
          <w:rFonts w:hint="eastAsia" w:ascii="楷体_GB2312" w:eastAsia="楷体_GB2312"/>
          <w:sz w:val="30"/>
          <w:szCs w:val="30"/>
        </w:rPr>
        <w:t>地区生产总值每5年经济普查后调整基数</w:t>
      </w:r>
      <w:r>
        <w:rPr>
          <w:rFonts w:hint="eastAsia" w:eastAsia="仿宋_GB2312"/>
          <w:sz w:val="32"/>
          <w:szCs w:val="32"/>
        </w:rPr>
        <w:t>）</w:t>
      </w:r>
      <w:r>
        <w:rPr>
          <w:rFonts w:eastAsia="仿宋_GB2312"/>
          <w:sz w:val="32"/>
          <w:szCs w:val="32"/>
        </w:rPr>
        <w:t>；实现财政总收入21亿元，同比减少7.6%，其中一般公共预算收入11.7亿元，同比减少5.86%；完成固定资产投资15.9亿元，同比增长8.4%；预计完成工业总产值411.9亿元，其中规上工业总产值231.5亿元，同比增长4.1%和3.9%；完成服务业增加值46.9亿元，同比增长8.2%；完成自营出口91.1亿元，同比增长6.3%。在2020年度乡镇综合实力排位上，我镇居全国百强镇第67位，浙江省第7位。</w:t>
      </w:r>
    </w:p>
    <w:p w14:paraId="7EE60084">
      <w:pPr>
        <w:spacing w:line="570" w:lineRule="exact"/>
        <w:ind w:firstLine="800" w:firstLineChars="249"/>
        <w:rPr>
          <w:rFonts w:eastAsia="仿宋_GB2312"/>
          <w:sz w:val="32"/>
          <w:szCs w:val="32"/>
        </w:rPr>
      </w:pPr>
      <w:r>
        <w:rPr>
          <w:rFonts w:hint="eastAsia" w:ascii="楷体_GB2312" w:eastAsia="楷体_GB2312"/>
          <w:b/>
          <w:sz w:val="32"/>
          <w:szCs w:val="32"/>
        </w:rPr>
        <w:t>一年来，我们发扬“争”的魄力、“拼”的精神，开题破局，推动经济发展稳中趋好。</w:t>
      </w:r>
      <w:r>
        <w:rPr>
          <w:rFonts w:hint="eastAsia" w:eastAsia="仿宋_GB2312"/>
          <w:b/>
          <w:bCs/>
          <w:kern w:val="0"/>
          <w:sz w:val="32"/>
          <w:szCs w:val="32"/>
        </w:rPr>
        <w:t>工业经济结构更加优化</w:t>
      </w:r>
      <w:r>
        <w:rPr>
          <w:rFonts w:hint="eastAsia" w:ascii="仿宋_GB2312" w:eastAsia="仿宋_GB2312"/>
          <w:b/>
          <w:bCs/>
          <w:sz w:val="32"/>
          <w:szCs w:val="32"/>
        </w:rPr>
        <w:t>。</w:t>
      </w:r>
      <w:r>
        <w:rPr>
          <w:rFonts w:eastAsia="仿宋_GB2312"/>
          <w:sz w:val="32"/>
          <w:szCs w:val="32"/>
        </w:rPr>
        <w:t>智能电器特色小镇、工业东区东扩区块等产业平台加快建设，完成桃园东路南延、横三路等道路建设。夏宝等6个产业项目竣工投产，垠雨等8个项目加快施工，公牛总部研发大楼等3个项目开工建设。完成韩电等3个项目土地出让共204亩。公牛集团完成主板上市，全镇市级百强企业达10家，“潜力百强”企业达14家。</w:t>
      </w:r>
      <w:r>
        <w:rPr>
          <w:rFonts w:hint="eastAsia" w:ascii="仿宋_GB2312" w:eastAsia="仿宋_GB2312"/>
          <w:b/>
          <w:sz w:val="32"/>
          <w:szCs w:val="32"/>
        </w:rPr>
        <w:t>创新发展优势更加凸显。</w:t>
      </w:r>
      <w:r>
        <w:rPr>
          <w:rFonts w:hint="eastAsia" w:eastAsia="仿宋_GB2312"/>
          <w:sz w:val="32"/>
          <w:szCs w:val="32"/>
        </w:rPr>
        <w:t>国能置信智造谷开工建设，全面实施“质量强镇”建设，稳步提升区域科技综合实力和企业自主创新能力，完成科技经费投入7.4亿元、高新技术产业增加值51.2亿元，完成专利申请243件，其中发明专利授权67件，连续4年蝉联全市第一。规上企业新产品产值率超过60%，R&amp;D经费投入强度达3.6%。培育市级以上专精特新</w:t>
      </w:r>
      <w:bookmarkStart w:id="0" w:name="_GoBack"/>
      <w:bookmarkEnd w:id="0"/>
      <w:r>
        <w:rPr>
          <w:rFonts w:hint="eastAsia" w:eastAsia="仿宋_GB2312"/>
          <w:sz w:val="32"/>
          <w:szCs w:val="32"/>
        </w:rPr>
        <w:t>企业32家，认定</w:t>
      </w:r>
      <w:r>
        <w:rPr>
          <w:rFonts w:eastAsia="仿宋_GB2312"/>
          <w:sz w:val="32"/>
          <w:szCs w:val="32"/>
        </w:rPr>
        <w:t>高新技术企业</w:t>
      </w:r>
      <w:r>
        <w:rPr>
          <w:rFonts w:hint="eastAsia" w:eastAsia="仿宋_GB2312"/>
          <w:sz w:val="32"/>
          <w:szCs w:val="32"/>
        </w:rPr>
        <w:t>18家、国家科技型中小企业46家、宁波市创新型初创企业29家。新增公牛国家级博士后工作站和国家级工业设计中心。宁波大学科技学院与我镇校地战略合作成功签约。</w:t>
      </w:r>
      <w:r>
        <w:rPr>
          <w:rFonts w:hint="eastAsia" w:ascii="仿宋_GB2312" w:eastAsia="仿宋_GB2312"/>
          <w:b/>
          <w:sz w:val="32"/>
          <w:szCs w:val="32"/>
        </w:rPr>
        <w:t>现代服务业增速更加稳健。</w:t>
      </w:r>
      <w:r>
        <w:rPr>
          <w:rFonts w:hint="eastAsia" w:eastAsia="仿宋_GB2312"/>
          <w:sz w:val="32"/>
          <w:szCs w:val="32"/>
        </w:rPr>
        <w:t>东部物流仓储3号仓项目完成主体建设。完成服务业进限13家，新增分离发展服务业1家。区域内跨境B2B出口试点6家，出口额达3.5亿美元。城隍庙、南门菜场创建为省三星级农贸市场，城东菜场完成建设，方家农贸市场完成土地摘牌，师桥集贸市场改造提升项目开始前期工作。鸣鹤古镇成功创建为国家4A级旅游景区，完成环白洋湖绿道项目土地征收及平整工作。新增国家级旅游厕所3座，省2A级景区村8个，A级景区村3个，省银宿级民宿1家。成功举办“首届鸣鹤年糕节”，吸引媒体近百家，游客3万余人次，带动消费500余万元，相关报道在央视多频道播放。</w:t>
      </w:r>
      <w:r>
        <w:rPr>
          <w:rFonts w:hint="eastAsia" w:ascii="仿宋_GB2312" w:eastAsia="仿宋_GB2312"/>
          <w:b/>
          <w:sz w:val="32"/>
          <w:szCs w:val="32"/>
        </w:rPr>
        <w:t>招商引资引智更加精准。</w:t>
      </w:r>
      <w:r>
        <w:rPr>
          <w:rFonts w:hint="eastAsia" w:eastAsia="仿宋_GB2312"/>
          <w:sz w:val="32"/>
          <w:szCs w:val="32"/>
        </w:rPr>
        <w:t>鸣鹤古镇高端酒店与香港中环控股达成投资意向。重塑金慈塑料城经营平台，入驻企业34家，进限8家，完成销售总额8亿元；总部类和金融类企业稳步运营，完成业务量46.6亿元，纳税3.3亿元；柏朗、乒博等10余家企业顺利落户我镇。引进内资19.5亿元，引进硕士以上各类人才80名。</w:t>
      </w:r>
      <w:r>
        <w:rPr>
          <w:rFonts w:hint="eastAsia" w:ascii="仿宋_GB2312" w:eastAsia="仿宋_GB2312"/>
          <w:b/>
          <w:sz w:val="32"/>
          <w:szCs w:val="32"/>
        </w:rPr>
        <w:t>农业发展举措更加有力。</w:t>
      </w:r>
      <w:r>
        <w:rPr>
          <w:rFonts w:hint="eastAsia" w:eastAsia="仿宋_GB2312"/>
          <w:sz w:val="32"/>
          <w:szCs w:val="32"/>
        </w:rPr>
        <w:t>加快完善农业基础设施，基本完成徐家浦东侧万亩高标准农田建设和中横线以北农田框架道路工程，稳步推进竺山江等45条河道整治和小型农田水利建设，杜岙村小岙山塘整治工程、五里村水环境整治工程等续建项目顺利完成，7个尾水治理工程完成工程量60%。积极组建村级综合服务社1家，新增市级及以上示范合作社与家庭农场5家。</w:t>
      </w:r>
      <w:r>
        <w:rPr>
          <w:rFonts w:hint="eastAsia" w:ascii="仿宋_GB2312" w:hAnsi="仿宋_GB2312" w:eastAsia="仿宋_GB2312" w:cs="仿宋_GB2312"/>
          <w:b/>
          <w:sz w:val="32"/>
          <w:szCs w:val="32"/>
        </w:rPr>
        <w:t>财政体制改革更加多元。</w:t>
      </w:r>
      <w:r>
        <w:rPr>
          <w:rFonts w:hint="eastAsia" w:eastAsia="仿宋_GB2312"/>
          <w:sz w:val="32"/>
          <w:szCs w:val="32"/>
        </w:rPr>
        <w:t>以投融资体制改革试点为契机，抢抓国家实行宽松货币政策、增加地方债券规模等政策“窗口期”，在上海证券交易所成功发行8亿元公司债券，创近五年全国镇级平台同期限非公开公司债发行利率最低，以银行间接融资和资本市场直接融资并重的多元融资模式初步形成。</w:t>
      </w:r>
    </w:p>
    <w:p w14:paraId="505FF8A2">
      <w:pPr>
        <w:spacing w:line="570" w:lineRule="exact"/>
        <w:ind w:firstLine="630" w:firstLineChars="196"/>
        <w:rPr>
          <w:rFonts w:eastAsia="仿宋_GB2312"/>
          <w:sz w:val="32"/>
          <w:szCs w:val="32"/>
        </w:rPr>
      </w:pPr>
      <w:r>
        <w:rPr>
          <w:rFonts w:hint="eastAsia" w:ascii="楷体_GB2312" w:eastAsia="楷体_GB2312"/>
          <w:b/>
          <w:sz w:val="32"/>
          <w:szCs w:val="32"/>
        </w:rPr>
        <w:t>一年来，我们发挥“争”的劲头、“拼”的水平，建管并举，促使城镇面貌有效改善。</w:t>
      </w:r>
      <w:r>
        <w:rPr>
          <w:rFonts w:hint="eastAsia" w:ascii="仿宋_GB2312" w:eastAsia="仿宋_GB2312"/>
          <w:b/>
          <w:sz w:val="32"/>
          <w:szCs w:val="32"/>
        </w:rPr>
        <w:t>城乡功能品质不断提升。</w:t>
      </w:r>
      <w:r>
        <w:rPr>
          <w:rFonts w:hint="eastAsia" w:eastAsia="仿宋_GB2312"/>
          <w:sz w:val="32"/>
          <w:szCs w:val="32"/>
        </w:rPr>
        <w:t>完成规一路（桃园路-规二路）等13个PPP项目建设，悦美广场商业综合体主体建成，奥园酒店、康复医院等项目顺利推进。纬六路停车场等3个公建项目完成投用，经三路（规三路-锦堂）开工建设，新城体育公园基本完成方案设计。攻坚完成环城东路道路红线内拆迁“清零”和宏一道口瓶颈路口拆迁。</w:t>
      </w:r>
      <w:r>
        <w:rPr>
          <w:rFonts w:hint="eastAsia" w:ascii="仿宋_GB2312" w:eastAsia="仿宋_GB2312"/>
          <w:b/>
          <w:sz w:val="32"/>
          <w:szCs w:val="32"/>
        </w:rPr>
        <w:t>基础设施建设不断推进。</w:t>
      </w:r>
      <w:r>
        <w:rPr>
          <w:rFonts w:hint="eastAsia" w:eastAsia="仿宋_GB2312"/>
          <w:sz w:val="32"/>
          <w:szCs w:val="32"/>
        </w:rPr>
        <w:t>杭甬高速复线观海卫段全线开工，观海卫客运站建设工程主体完成，杭州湾引水工程（观海卫段）正实施隧洞开挖。加快打通老城等区域性交通堵点，南央路等停车场建成投用，全镇新建停车位2700余个。</w:t>
      </w:r>
      <w:r>
        <w:rPr>
          <w:rFonts w:hint="eastAsia" w:ascii="仿宋_GB2312" w:eastAsia="仿宋_GB2312"/>
          <w:b/>
          <w:bCs/>
          <w:sz w:val="32"/>
          <w:szCs w:val="32"/>
        </w:rPr>
        <w:t>城市管理水平</w:t>
      </w:r>
      <w:r>
        <w:rPr>
          <w:rFonts w:hint="eastAsia" w:ascii="仿宋_GB2312" w:eastAsia="仿宋_GB2312"/>
          <w:b/>
          <w:sz w:val="32"/>
          <w:szCs w:val="32"/>
        </w:rPr>
        <w:t>不断优化。</w:t>
      </w:r>
      <w:r>
        <w:rPr>
          <w:rFonts w:hint="eastAsia" w:eastAsia="仿宋_GB2312"/>
          <w:sz w:val="32"/>
          <w:szCs w:val="32"/>
        </w:rPr>
        <w:t>成功创建“基本无违建乡镇”，拆除违法建筑20.5万平方米，复耕3万平方米，</w:t>
      </w:r>
      <w:r>
        <w:rPr>
          <w:rFonts w:hint="eastAsia" w:eastAsia="仿宋_GB2312"/>
          <w:sz w:val="32"/>
        </w:rPr>
        <w:t>全年发现并制止违建行为67起</w:t>
      </w:r>
      <w:r>
        <w:rPr>
          <w:rFonts w:hint="eastAsia" w:eastAsia="仿宋_GB2312"/>
          <w:sz w:val="32"/>
          <w:szCs w:val="32"/>
        </w:rPr>
        <w:t>。加强乱设摊、乱停放等行为的整治力度，深化环城北路和观海卫路样板路创建。实施工业园区流动摊贩规范经营试点。查处建筑垃圾违法行为110起，开具垃圾清运证件4500余张。开展流浪犬集中整治工作。</w:t>
      </w:r>
    </w:p>
    <w:p w14:paraId="27528B93">
      <w:pPr>
        <w:spacing w:line="570" w:lineRule="exact"/>
        <w:ind w:firstLine="630" w:firstLineChars="196"/>
        <w:rPr>
          <w:rFonts w:eastAsia="仿宋_GB2312"/>
          <w:sz w:val="32"/>
          <w:szCs w:val="32"/>
        </w:rPr>
      </w:pPr>
      <w:r>
        <w:rPr>
          <w:rFonts w:hint="eastAsia" w:ascii="楷体_GB2312" w:eastAsia="楷体_GB2312"/>
          <w:b/>
          <w:sz w:val="32"/>
          <w:szCs w:val="32"/>
        </w:rPr>
        <w:t>一年来，我们迸发“争”的激情、“拼”的活力，整改同频，推进生态环境持续提升。</w:t>
      </w:r>
      <w:r>
        <w:rPr>
          <w:rFonts w:hint="eastAsia" w:ascii="仿宋_GB2312" w:eastAsia="仿宋_GB2312"/>
          <w:b/>
          <w:sz w:val="32"/>
          <w:szCs w:val="32"/>
        </w:rPr>
        <w:t>打好生态环境治理“保卫战”。</w:t>
      </w:r>
      <w:r>
        <w:rPr>
          <w:rFonts w:hint="eastAsia" w:eastAsia="仿宋_GB2312"/>
          <w:sz w:val="32"/>
          <w:szCs w:val="32"/>
        </w:rPr>
        <w:t>新建农村生活污水治理项目2个，污水管网8公里。取缔各类低小散作坊6家，打击废塑料反弹31家次，立案查处1家。完成第二轮中央环保督察整改信访件6件。完成老徐家浦、油车江、五塘横河等重点难点河道及两侧专项整治。</w:t>
      </w:r>
      <w:r>
        <w:rPr>
          <w:rFonts w:hint="eastAsia" w:ascii="仿宋_GB2312" w:eastAsia="仿宋_GB2312"/>
          <w:b/>
          <w:bCs/>
          <w:sz w:val="32"/>
          <w:szCs w:val="32"/>
        </w:rPr>
        <w:t>打好</w:t>
      </w:r>
      <w:r>
        <w:rPr>
          <w:rFonts w:hint="eastAsia" w:ascii="仿宋_GB2312" w:eastAsia="仿宋_GB2312"/>
          <w:b/>
          <w:sz w:val="32"/>
          <w:szCs w:val="32"/>
        </w:rPr>
        <w:t>城乡环境整治“攻坚战”。</w:t>
      </w:r>
      <w:r>
        <w:rPr>
          <w:rFonts w:hint="eastAsia" w:eastAsia="仿宋_GB2312"/>
          <w:sz w:val="32"/>
          <w:szCs w:val="32"/>
        </w:rPr>
        <w:t>推进垃圾分类工作，6个城镇居住小区全部完成三项机制，29个非城镇居住小区通过市达标验收，37个村通过达标村验收。推进环境整治“清爽行动”，整治专项问题点位1600余个，问题整改销号率达100%。开展“给全镇洗个澡”专项行动，各村（社区）上报整治提升工程项目924个，硬化道路面积12.3万平方米，改造提升绿化3.5万平方米，投资达3500多万元，城乡环境面貌和人居环境明显改善。</w:t>
      </w:r>
      <w:r>
        <w:rPr>
          <w:rFonts w:hint="eastAsia" w:ascii="仿宋_GB2312" w:eastAsia="仿宋_GB2312"/>
          <w:b/>
          <w:sz w:val="32"/>
          <w:szCs w:val="32"/>
        </w:rPr>
        <w:t>打好美丽城镇创建“持久战”。</w:t>
      </w:r>
      <w:r>
        <w:rPr>
          <w:rFonts w:hint="eastAsia" w:eastAsia="仿宋_GB2312"/>
          <w:sz w:val="32"/>
          <w:szCs w:val="32"/>
        </w:rPr>
        <w:t>高质量完成观海卫美丽城镇创建行动方案编制，获评省级优秀方案。完成大岐山、双湖、东桥头和三塘头等4个宜居村建设工程，湖滨路及湖中路绿化提升工程白洋段顺利完成，双湖村美丽乡村精品村通过市级验收并启动典范村建设。成功创建成为宁波市美丽乡村示范镇。打造观海卫路西入口等景观节点9处，三海线景观改造工程有序推进，宓大昌周边改造提升工程（二期）完成前期工作。持续推进厕所革命，完成公厕改造80座。粪便处理中心开工建设。</w:t>
      </w:r>
    </w:p>
    <w:p w14:paraId="4875AC41">
      <w:pPr>
        <w:spacing w:line="570" w:lineRule="exact"/>
        <w:ind w:firstLine="630" w:firstLineChars="196"/>
        <w:rPr>
          <w:rFonts w:eastAsia="仿宋_GB2312"/>
          <w:sz w:val="32"/>
          <w:szCs w:val="32"/>
        </w:rPr>
      </w:pPr>
      <w:r>
        <w:rPr>
          <w:rFonts w:hint="eastAsia" w:ascii="楷体_GB2312" w:eastAsia="楷体_GB2312"/>
          <w:b/>
          <w:sz w:val="32"/>
          <w:szCs w:val="32"/>
        </w:rPr>
        <w:t>一年来，我们落实“争”的举措、“拼”的方案，提质扩面，促进民生保障稳步提高。</w:t>
      </w:r>
      <w:r>
        <w:rPr>
          <w:rFonts w:hint="eastAsia" w:ascii="仿宋_GB2312" w:hAnsi="仿宋_GB2312" w:eastAsia="仿宋_GB2312" w:cs="仿宋_GB2312"/>
          <w:b/>
          <w:sz w:val="32"/>
          <w:szCs w:val="32"/>
        </w:rPr>
        <w:t>疫情防控体系更加精密。</w:t>
      </w:r>
      <w:r>
        <w:rPr>
          <w:rFonts w:hint="eastAsia" w:eastAsia="仿宋_GB2312"/>
          <w:sz w:val="32"/>
          <w:szCs w:val="32"/>
        </w:rPr>
        <w:t>加强人员管控，强化“闭环”管理，排查重点地区人员4.8万人，集中观察2971人，核酸检测7134人，实现疫情防控“零病例”。</w:t>
      </w:r>
      <w:r>
        <w:rPr>
          <w:rFonts w:hint="eastAsia" w:ascii="仿宋_GB2312" w:eastAsia="仿宋_GB2312"/>
          <w:b/>
          <w:bCs/>
          <w:sz w:val="32"/>
          <w:szCs w:val="32"/>
        </w:rPr>
        <w:t>教育卫生体系更加优化。</w:t>
      </w:r>
      <w:r>
        <w:rPr>
          <w:rFonts w:hint="eastAsia" w:eastAsia="仿宋_GB2312"/>
          <w:sz w:val="32"/>
          <w:szCs w:val="32"/>
        </w:rPr>
        <w:t>完成观城实验幼儿园、春蕾幼儿园、阳光幼儿园、曙光幼儿园等4所幼儿园民转公协议签订，普惠性幼儿园达到100%，其中公办幼儿园招生覆盖率达53%。卫前幼儿园被认定为省一级幼儿园。启动文棋中学施教区内户籍学生“双学区”就读新模式。镇医院中医馆搬迁改造已完成招标，立体停车场项目实质性启动。9个村规范化卫生室完成提升改造。</w:t>
      </w:r>
      <w:r>
        <w:rPr>
          <w:rFonts w:hint="eastAsia" w:ascii="仿宋_GB2312" w:eastAsia="仿宋_GB2312"/>
          <w:b/>
          <w:bCs/>
          <w:sz w:val="32"/>
          <w:szCs w:val="32"/>
        </w:rPr>
        <w:t>民生保障体系更加完善。</w:t>
      </w:r>
      <w:r>
        <w:rPr>
          <w:rFonts w:hint="eastAsia" w:eastAsia="仿宋_GB2312"/>
          <w:sz w:val="32"/>
          <w:szCs w:val="32"/>
        </w:rPr>
        <w:t>累计发放各类补贴、救助金1889.5万元。加快发展养老事业，海地养老院正式启动运营，推进居家养老网络建设，实现各村（社区）居家养老服务站全覆盖，建设区域性居家养老服务中心1家。创建“枫桥式”退役军人服务站，实现村级达标型服务站全覆盖，发放补助共计20.5万元。深化“无欠薪”观海卫品牌，调解各类劳资事件和工伤纠纷共计532起，涉及金额820余万元。</w:t>
      </w:r>
      <w:r>
        <w:rPr>
          <w:rFonts w:hint="eastAsia" w:ascii="仿宋_GB2312" w:eastAsia="仿宋_GB2312"/>
          <w:b/>
          <w:bCs/>
          <w:sz w:val="32"/>
          <w:szCs w:val="32"/>
        </w:rPr>
        <w:t>帮贫扶困体系更加精准</w:t>
      </w:r>
      <w:r>
        <w:rPr>
          <w:rFonts w:hint="eastAsia" w:ascii="仿宋_GB2312" w:eastAsia="仿宋_GB2312"/>
          <w:b/>
          <w:sz w:val="32"/>
          <w:szCs w:val="32"/>
        </w:rPr>
        <w:t>。</w:t>
      </w:r>
      <w:r>
        <w:rPr>
          <w:rFonts w:hint="eastAsia" w:eastAsia="仿宋_GB2312"/>
          <w:sz w:val="32"/>
          <w:szCs w:val="32"/>
        </w:rPr>
        <w:t>完善“一户一档”建档管理，37名贫困对象获得助医、助学等专项救助。2家残疾人日间照料中心分获浙江省首批五星级、四星级“残疾人之家”称号。深化与贵州兴仁市屯脚镇、新龙场镇的镇镇、镇村结对帮扶，援助各类资金400余万元。</w:t>
      </w:r>
      <w:r>
        <w:rPr>
          <w:rFonts w:hint="eastAsia" w:ascii="仿宋_GB2312" w:eastAsia="仿宋_GB2312"/>
          <w:b/>
          <w:bCs/>
          <w:sz w:val="32"/>
          <w:szCs w:val="32"/>
        </w:rPr>
        <w:t>文化事业体系更加繁荣。</w:t>
      </w:r>
      <w:r>
        <w:rPr>
          <w:rFonts w:hint="eastAsia" w:eastAsia="仿宋_GB2312"/>
          <w:sz w:val="32"/>
          <w:szCs w:val="32"/>
        </w:rPr>
        <w:t>10名同志分别获评宁波、慈溪市级战“疫”先锋、“宁波最美抗疫志愿者”称号。返岗复工专列“开往春天的列车”登上新华社NCN视频，点击量达140余万人次。卫南村《垃圾分类狂想曲》节目获省文艺汇演一等奖。劳特电器创建为浙江省文明单位。成功创建宁波市文明村2个，慈溪市文明村3个。完成2个省体育小康村提升工程申报和全镇户外健身设施维修工程。申报慈溪市级非遗项目11个。</w:t>
      </w:r>
    </w:p>
    <w:p w14:paraId="664D9B16">
      <w:pPr>
        <w:spacing w:line="570" w:lineRule="exact"/>
        <w:ind w:firstLine="630" w:firstLineChars="196"/>
        <w:rPr>
          <w:rFonts w:eastAsia="仿宋_GB2312"/>
          <w:sz w:val="32"/>
          <w:szCs w:val="32"/>
        </w:rPr>
      </w:pPr>
      <w:r>
        <w:rPr>
          <w:rFonts w:hint="eastAsia" w:ascii="楷体_GB2312" w:eastAsia="楷体_GB2312"/>
          <w:b/>
          <w:sz w:val="32"/>
          <w:szCs w:val="32"/>
        </w:rPr>
        <w:t>一年来，我们展示“争”的勇气、“拼”的能力，科学治理，确保社会大局和谐稳定。</w:t>
      </w:r>
      <w:r>
        <w:rPr>
          <w:rFonts w:hint="eastAsia" w:ascii="仿宋_GB2312" w:eastAsia="仿宋_GB2312"/>
          <w:b/>
          <w:sz w:val="32"/>
          <w:szCs w:val="32"/>
        </w:rPr>
        <w:t>平安建设持续深化。</w:t>
      </w:r>
      <w:r>
        <w:rPr>
          <w:rFonts w:hint="eastAsia" w:eastAsia="仿宋_GB2312"/>
          <w:sz w:val="32"/>
          <w:szCs w:val="32"/>
        </w:rPr>
        <w:t>深化“一中心四平台全科网格”工作机制，全年共上报各类事件13.1万件，其中调处各类矛盾纠纷230余起，成功率达100%。综合信息指挥室获评宁波市社会治理创新示范点。纵深推进反邪教工作，排摸邪教参与人员12人，利用各类媒介开展反邪教宣传，分发宣传册1.8万份。深化扫黑除恶专项行动，</w:t>
      </w:r>
      <w:r>
        <w:rPr>
          <w:rFonts w:eastAsia="仿宋_GB2312"/>
          <w:sz w:val="32"/>
          <w:szCs w:val="32"/>
        </w:rPr>
        <w:t>查处涉黑涉恶问题</w:t>
      </w:r>
      <w:r>
        <w:rPr>
          <w:rFonts w:hint="eastAsia" w:eastAsia="仿宋_GB2312"/>
          <w:sz w:val="32"/>
          <w:szCs w:val="32"/>
        </w:rPr>
        <w:t>30</w:t>
      </w:r>
      <w:r>
        <w:rPr>
          <w:rFonts w:eastAsia="仿宋_GB2312"/>
          <w:sz w:val="32"/>
          <w:szCs w:val="32"/>
        </w:rPr>
        <w:t>起</w:t>
      </w:r>
      <w:r>
        <w:rPr>
          <w:rFonts w:hint="eastAsia" w:eastAsia="仿宋_GB2312"/>
          <w:sz w:val="32"/>
          <w:szCs w:val="32"/>
        </w:rPr>
        <w:t>、75</w:t>
      </w:r>
      <w:r>
        <w:rPr>
          <w:rFonts w:eastAsia="仿宋_GB2312"/>
          <w:sz w:val="32"/>
          <w:szCs w:val="32"/>
        </w:rPr>
        <w:t>人</w:t>
      </w:r>
      <w:r>
        <w:rPr>
          <w:rFonts w:hint="eastAsia" w:eastAsia="仿宋_GB2312"/>
          <w:sz w:val="32"/>
          <w:szCs w:val="32"/>
        </w:rPr>
        <w:t>，打掉黑恶势力团伙2个，成员23人</w:t>
      </w:r>
      <w:r>
        <w:rPr>
          <w:rFonts w:eastAsia="仿宋_GB2312"/>
          <w:sz w:val="32"/>
          <w:szCs w:val="32"/>
        </w:rPr>
        <w:t>。</w:t>
      </w:r>
      <w:r>
        <w:rPr>
          <w:rFonts w:hint="eastAsia" w:eastAsia="仿宋_GB2312"/>
          <w:sz w:val="32"/>
          <w:szCs w:val="32"/>
        </w:rPr>
        <w:t>加强天网工程建设，新增监控探头500个，全面排查维护天网监控探头、人脸识别系统等设备。</w:t>
      </w:r>
      <w:r>
        <w:rPr>
          <w:rFonts w:hint="eastAsia" w:ascii="仿宋_GB2312" w:eastAsia="仿宋_GB2312"/>
          <w:b/>
          <w:sz w:val="32"/>
          <w:szCs w:val="32"/>
        </w:rPr>
        <w:t>信访维稳持续抓实。</w:t>
      </w:r>
      <w:r>
        <w:rPr>
          <w:rFonts w:hint="eastAsia" w:eastAsia="仿宋_GB2312"/>
          <w:sz w:val="32"/>
          <w:szCs w:val="32"/>
        </w:rPr>
        <w:t>深化矛调中心建设，办结初信初访87件，化解信访积案17件。赴京信访登记人数较去年下降93%，重大活动期间赴京实现“零扰序”。</w:t>
      </w:r>
      <w:r>
        <w:rPr>
          <w:rFonts w:hint="eastAsia" w:ascii="仿宋_GB2312" w:eastAsia="仿宋_GB2312"/>
          <w:b/>
          <w:sz w:val="32"/>
          <w:szCs w:val="32"/>
        </w:rPr>
        <w:t>安全监管持续强化。</w:t>
      </w:r>
      <w:r>
        <w:rPr>
          <w:rFonts w:hint="eastAsia" w:eastAsia="仿宋_GB2312"/>
          <w:sz w:val="32"/>
          <w:szCs w:val="32"/>
        </w:rPr>
        <w:t>加强对群租厂房消防安全隐患专项整治、突出火灾隐患集中排查整治专项行动等工作，检查各类生产经营场所3564家，发现并整改安全隐患5122条，未发生亡人安全生产事故和亡人火灾事故，成为全国“安康杯”竞赛优秀组织唯一乡镇单位。开展道路交通安全综合治理行动，查处“三车”违法行为23503起。加强食品安全管控，深化食品药品安全治理，检查学校主体78家次，校园周边餐饮食杂及集中配送单位65家次，全面开展农村食品安全专项整治，共整改问题602个。</w:t>
      </w:r>
    </w:p>
    <w:p w14:paraId="2B26FA06">
      <w:pPr>
        <w:spacing w:line="570" w:lineRule="exact"/>
        <w:ind w:firstLine="643" w:firstLineChars="200"/>
        <w:rPr>
          <w:rFonts w:eastAsia="仿宋_GB2312"/>
          <w:sz w:val="32"/>
          <w:szCs w:val="32"/>
        </w:rPr>
      </w:pPr>
      <w:r>
        <w:rPr>
          <w:rFonts w:hint="eastAsia" w:ascii="楷体_GB2312" w:eastAsia="楷体_GB2312"/>
          <w:b/>
          <w:sz w:val="32"/>
          <w:szCs w:val="32"/>
        </w:rPr>
        <w:t>一年来，我们优化“争”的作风、“拼”的氛围，依法行政，维护政治生态廉洁高效。织严社会群众</w:t>
      </w:r>
      <w:r>
        <w:rPr>
          <w:rFonts w:hint="eastAsia" w:ascii="仿宋_GB2312" w:eastAsia="仿宋_GB2312"/>
          <w:b/>
          <w:sz w:val="32"/>
          <w:szCs w:val="32"/>
        </w:rPr>
        <w:t>监督网。</w:t>
      </w:r>
      <w:r>
        <w:rPr>
          <w:rFonts w:hint="eastAsia" w:eastAsia="仿宋_GB2312"/>
          <w:sz w:val="32"/>
          <w:szCs w:val="32"/>
        </w:rPr>
        <w:t>自觉接受镇人大主席团的法律监督、工作监督和政协联络委的民主监督，办理代表建议41件，代表满意率达97.6%。主动做好政务信息公开，一年来通过网站、微博、微信等渠道，主动公开各类信息1500余条。</w:t>
      </w:r>
      <w:r>
        <w:rPr>
          <w:rFonts w:hint="eastAsia" w:ascii="仿宋_GB2312" w:eastAsia="仿宋_GB2312"/>
          <w:b/>
          <w:sz w:val="32"/>
          <w:szCs w:val="32"/>
        </w:rPr>
        <w:t>织牢行政审批服务网。</w:t>
      </w:r>
      <w:r>
        <w:rPr>
          <w:rFonts w:hint="eastAsia" w:eastAsia="仿宋_GB2312"/>
          <w:sz w:val="32"/>
          <w:szCs w:val="32"/>
        </w:rPr>
        <w:t>深入开展“三服务”活动，解决各类问题32个。深化“最多跑一次”改革，办理审批服务8.5万件，办结率达99.5%。深化“减证便民”改革，全面启用电子证明共享核查平台，打造“无证明办事之城”。</w:t>
      </w:r>
      <w:r>
        <w:rPr>
          <w:rFonts w:hint="eastAsia" w:ascii="仿宋_GB2312" w:eastAsia="仿宋_GB2312"/>
          <w:b/>
          <w:bCs/>
          <w:sz w:val="32"/>
          <w:szCs w:val="32"/>
        </w:rPr>
        <w:t>织密廉政风险防控网。</w:t>
      </w:r>
      <w:r>
        <w:rPr>
          <w:rFonts w:hint="eastAsia" w:eastAsia="仿宋_GB2312"/>
          <w:sz w:val="32"/>
          <w:szCs w:val="32"/>
        </w:rPr>
        <w:t>强化公共资源交易管理，积极推行“互联网+交易服务”，完成公共资源交易项目102宗，交易金额约1.07亿元，节约资金1957万元。强化内部审计监督，完成9个内部审计和12个绩效评价项目。加强各单位、各部门资产管理，防止国有资产流失，盘点出调拨的国家直管公房9949.3平方米。做好固定资产采购，严控公务用车，采购并入库执法用车1辆。</w:t>
      </w:r>
    </w:p>
    <w:p w14:paraId="78AC346F">
      <w:pPr>
        <w:spacing w:line="570" w:lineRule="exact"/>
        <w:ind w:firstLine="640" w:firstLineChars="200"/>
        <w:rPr>
          <w:rFonts w:eastAsia="仿宋_GB2312"/>
          <w:sz w:val="32"/>
          <w:szCs w:val="32"/>
        </w:rPr>
      </w:pPr>
      <w:r>
        <w:rPr>
          <w:rFonts w:hint="eastAsia" w:eastAsia="仿宋_GB2312"/>
          <w:sz w:val="32"/>
          <w:szCs w:val="32"/>
        </w:rPr>
        <w:t>此外，高度重视国防建设，输送新兵37名。民族、宗教、工会、团委、妇联、老龄、统战、残联、商会等工作也取得了很多新业绩，宁波都市区现代化小城市发展的合力进一步凝聚。</w:t>
      </w:r>
    </w:p>
    <w:p w14:paraId="6429383F">
      <w:pPr>
        <w:spacing w:line="570" w:lineRule="exact"/>
        <w:rPr>
          <w:rFonts w:ascii="仿宋_GB2312" w:eastAsia="仿宋_GB2312"/>
          <w:sz w:val="32"/>
          <w:szCs w:val="32"/>
        </w:rPr>
      </w:pPr>
    </w:p>
    <w:p w14:paraId="5D33162C">
      <w:pPr>
        <w:spacing w:line="570" w:lineRule="exact"/>
        <w:jc w:val="center"/>
        <w:rPr>
          <w:rFonts w:ascii="黑体" w:hAnsi="黑体" w:eastAsia="黑体"/>
          <w:sz w:val="32"/>
          <w:szCs w:val="32"/>
        </w:rPr>
      </w:pPr>
      <w:r>
        <w:rPr>
          <w:rFonts w:hint="eastAsia" w:ascii="黑体" w:hAnsi="黑体" w:eastAsia="黑体"/>
          <w:sz w:val="32"/>
          <w:szCs w:val="32"/>
        </w:rPr>
        <w:t>二、2021年工作安排</w:t>
      </w:r>
    </w:p>
    <w:p w14:paraId="589CBEC2">
      <w:pPr>
        <w:spacing w:line="570" w:lineRule="exact"/>
        <w:jc w:val="center"/>
        <w:rPr>
          <w:rFonts w:ascii="仿宋_GB2312" w:eastAsia="仿宋_GB2312"/>
          <w:sz w:val="32"/>
          <w:szCs w:val="32"/>
        </w:rPr>
      </w:pPr>
    </w:p>
    <w:p w14:paraId="37A1A4F4">
      <w:pPr>
        <w:spacing w:line="570" w:lineRule="exact"/>
        <w:ind w:firstLine="640" w:firstLineChars="200"/>
        <w:rPr>
          <w:rFonts w:eastAsia="仿宋_GB2312"/>
          <w:sz w:val="32"/>
          <w:szCs w:val="32"/>
        </w:rPr>
      </w:pPr>
      <w:r>
        <w:rPr>
          <w:rFonts w:eastAsia="仿宋_GB2312"/>
          <w:sz w:val="32"/>
          <w:szCs w:val="32"/>
        </w:rPr>
        <w:t>2021</w:t>
      </w:r>
      <w:r>
        <w:rPr>
          <w:rFonts w:hint="eastAsia" w:eastAsia="仿宋_GB2312"/>
          <w:sz w:val="32"/>
          <w:szCs w:val="32"/>
        </w:rPr>
        <w:t>年，是“十四五”规划和全面建设社会主义现代化国家的开局之年，是宁波都市区现代化小城市建设的关键之年，也</w:t>
      </w:r>
      <w:r>
        <w:rPr>
          <w:rFonts w:eastAsia="仿宋_GB2312"/>
          <w:sz w:val="32"/>
          <w:szCs w:val="32"/>
        </w:rPr>
        <w:t>是我</w:t>
      </w:r>
      <w:r>
        <w:rPr>
          <w:rFonts w:hint="eastAsia" w:eastAsia="仿宋_GB2312"/>
          <w:sz w:val="32"/>
          <w:szCs w:val="32"/>
        </w:rPr>
        <w:t>镇行政区划调整、实现</w:t>
      </w:r>
      <w:r>
        <w:rPr>
          <w:rFonts w:eastAsia="仿宋_GB2312"/>
          <w:sz w:val="32"/>
          <w:szCs w:val="32"/>
        </w:rPr>
        <w:t>“</w:t>
      </w:r>
      <w:r>
        <w:rPr>
          <w:rFonts w:hint="eastAsia" w:eastAsia="仿宋_GB2312"/>
          <w:sz w:val="32"/>
          <w:szCs w:val="32"/>
        </w:rPr>
        <w:t>三镇合一</w:t>
      </w:r>
      <w:r>
        <w:rPr>
          <w:rFonts w:eastAsia="仿宋_GB2312"/>
          <w:sz w:val="32"/>
          <w:szCs w:val="32"/>
        </w:rPr>
        <w:t>”</w:t>
      </w:r>
      <w:r>
        <w:rPr>
          <w:rFonts w:hint="eastAsia" w:eastAsia="仿宋_GB2312"/>
          <w:sz w:val="32"/>
          <w:szCs w:val="32"/>
        </w:rPr>
        <w:t>20周年，我们将抓住高铁建设、前湾新区发展和长三角一体化国家战略的叠加历史机遇，进一步增强“窗口”意识，展现“窗口”担当，争当“窗口”标兵。为此，我们将着力抓好六方面工作：</w:t>
      </w:r>
    </w:p>
    <w:p w14:paraId="5A2EA0D7">
      <w:pPr>
        <w:spacing w:line="570" w:lineRule="exact"/>
        <w:ind w:firstLine="643" w:firstLineChars="200"/>
        <w:rPr>
          <w:rFonts w:eastAsia="仿宋_GB2312"/>
          <w:sz w:val="32"/>
          <w:szCs w:val="32"/>
        </w:rPr>
      </w:pPr>
      <w:r>
        <w:rPr>
          <w:rFonts w:hint="eastAsia" w:ascii="楷体_GB2312" w:eastAsia="楷体_GB2312"/>
          <w:b/>
          <w:sz w:val="32"/>
          <w:szCs w:val="32"/>
        </w:rPr>
        <w:t>（一）坚持创新引领经济转型，彰显经济发展“科技特质”。</w:t>
      </w:r>
      <w:r>
        <w:rPr>
          <w:rFonts w:hint="eastAsia" w:ascii="仿宋_GB2312" w:eastAsia="仿宋_GB2312"/>
          <w:b/>
          <w:sz w:val="32"/>
          <w:szCs w:val="32"/>
        </w:rPr>
        <w:t>推进产业结构建设进一步升级。</w:t>
      </w:r>
      <w:r>
        <w:rPr>
          <w:rFonts w:hint="eastAsia" w:eastAsia="仿宋_GB2312"/>
          <w:sz w:val="32"/>
          <w:szCs w:val="32"/>
        </w:rPr>
        <w:t>推进智能电器特色小镇建设，加快国能置信智造谷建设进度；推进公牛转换器、韩电洗衣机等12个在建项目竣工投产；确保吉毅电器等10个项目开工建设；适时启动村级小微园区改造提升工作。适时启动新观附公路改造工程。</w:t>
      </w:r>
      <w:r>
        <w:rPr>
          <w:rFonts w:eastAsia="仿宋_GB2312"/>
          <w:sz w:val="32"/>
          <w:szCs w:val="32"/>
        </w:rPr>
        <w:t>加大龙头企业引领、骨干企业</w:t>
      </w:r>
      <w:r>
        <w:rPr>
          <w:rFonts w:hint="eastAsia" w:eastAsia="仿宋_GB2312"/>
          <w:sz w:val="32"/>
          <w:szCs w:val="32"/>
        </w:rPr>
        <w:t>阶梯式</w:t>
      </w:r>
      <w:r>
        <w:rPr>
          <w:rFonts w:eastAsia="仿宋_GB2312"/>
          <w:sz w:val="32"/>
          <w:szCs w:val="32"/>
        </w:rPr>
        <w:t>培育、小升规企业挖掘力度，增强发展后劲</w:t>
      </w:r>
      <w:r>
        <w:rPr>
          <w:rFonts w:hint="eastAsia" w:eastAsia="仿宋_GB2312"/>
          <w:sz w:val="32"/>
          <w:szCs w:val="32"/>
        </w:rPr>
        <w:t>。</w:t>
      </w:r>
      <w:r>
        <w:rPr>
          <w:rFonts w:hint="eastAsia" w:ascii="仿宋_GB2312" w:eastAsia="仿宋_GB2312"/>
          <w:b/>
          <w:sz w:val="32"/>
          <w:szCs w:val="32"/>
        </w:rPr>
        <w:t>推进新旧动能转换进一步提速。</w:t>
      </w:r>
      <w:r>
        <w:rPr>
          <w:rFonts w:hint="eastAsia" w:eastAsia="仿宋_GB2312"/>
          <w:sz w:val="32"/>
          <w:szCs w:val="32"/>
        </w:rPr>
        <w:t>深入实施“质量强镇”建设,力争全年完成科研投入7亿元以上，高新投资占工业投资的比重保持70%以上，申报专利1500件，授权专利1000件。强化亩均效益评价结果应用，规范提升用电用工用地综合指标明显落后的企业。力争全年新增规上企业12家以上。启动企业人才公寓建设前期工作，实质性推动宁波大学科技学院与我镇的产学研合作。</w:t>
      </w:r>
      <w:r>
        <w:rPr>
          <w:rFonts w:hint="eastAsia" w:ascii="仿宋_GB2312" w:eastAsia="仿宋_GB2312"/>
          <w:b/>
          <w:sz w:val="32"/>
          <w:szCs w:val="32"/>
        </w:rPr>
        <w:t>推进现代服务业发展进一步提质。</w:t>
      </w:r>
      <w:r>
        <w:rPr>
          <w:rFonts w:hint="eastAsia" w:eastAsia="仿宋_GB2312"/>
          <w:sz w:val="32"/>
          <w:szCs w:val="32"/>
        </w:rPr>
        <w:t>积极引导企业持续做好服务业分离发展工作。完成悦美广场招商运营，实施城隍庙商圈与广义路等特色街的改造提升，推进新城月子中心落地。加快推进东部物流基地、奥园酒店项目等服务业项目建成投用。继续抓好新泽、方家等“五化”农贸市场建设，完成师桥集贸市场改造工程。推动鸣鹤高端精品酒店项目落地、环白洋湖绿道建设、湖中路改造提升以及中街立面改造工程。办好第二届鸣鹤年糕节等活动，以中共浙东区委成立旧址（宓大昌）为中心，推进“红村”建设，发展红色旅游。全年力争实际利用外资800万美元、引进内资5亿元以上。利用“金慈塑料城”慈企回归新平台，实现销售额20亿元，新增进限10家以上。</w:t>
      </w:r>
      <w:r>
        <w:rPr>
          <w:rFonts w:hint="eastAsia" w:ascii="仿宋_GB2312" w:eastAsia="仿宋_GB2312"/>
          <w:b/>
          <w:sz w:val="32"/>
          <w:szCs w:val="32"/>
        </w:rPr>
        <w:t>推进人才引育引擎进一步更新。</w:t>
      </w:r>
      <w:r>
        <w:rPr>
          <w:rFonts w:hint="eastAsia" w:eastAsia="仿宋_GB2312"/>
          <w:sz w:val="32"/>
          <w:szCs w:val="32"/>
        </w:rPr>
        <w:t>大力延揽“高精尖”人才项目，申报慈溪市级以上人才项目3个以上，引进硕士以上学历人才80人，新增本科大学生就业2096人。主动接轨大上海，引进上海科创资源，签约与上海科技合作项目2个以上，全年吸引10名以上的上海中高层次人才来镇创新创业。</w:t>
      </w:r>
    </w:p>
    <w:p w14:paraId="7C938552">
      <w:pPr>
        <w:spacing w:line="570" w:lineRule="exact"/>
        <w:ind w:firstLine="630" w:firstLineChars="196"/>
        <w:rPr>
          <w:rFonts w:eastAsia="仿宋_GB2312"/>
          <w:sz w:val="32"/>
          <w:szCs w:val="32"/>
        </w:rPr>
      </w:pPr>
      <w:r>
        <w:rPr>
          <w:rFonts w:hint="eastAsia" w:ascii="楷体_GB2312" w:eastAsia="楷体_GB2312"/>
          <w:b/>
          <w:sz w:val="32"/>
          <w:szCs w:val="32"/>
        </w:rPr>
        <w:t>（二）坚持规划引领城市建设，打造城市形象“靓丽颜值”。</w:t>
      </w:r>
      <w:r>
        <w:rPr>
          <w:rFonts w:hint="eastAsia" w:ascii="仿宋_GB2312" w:hAnsi="仿宋_GB2312" w:eastAsia="仿宋_GB2312" w:cs="仿宋_GB2312"/>
          <w:b/>
          <w:sz w:val="32"/>
          <w:szCs w:val="32"/>
        </w:rPr>
        <w:t>聚力城市面貌美化。</w:t>
      </w:r>
      <w:r>
        <w:rPr>
          <w:rFonts w:hint="eastAsia" w:eastAsia="仿宋_GB2312"/>
          <w:sz w:val="32"/>
          <w:szCs w:val="32"/>
        </w:rPr>
        <w:t>强化规划体系建设，科学编制完成观海卫镇国土空间总体规划，同步推进村庄规划及控制性详细规划。重点打造新城1.8平方公里核心区建设，适时启动海地屋一期区块拆迁，拉开城市框架。开展师桥公园、古师路公园改造提升，新建投资2.5亿元、占地71.7亩的新城体育公园。</w:t>
      </w:r>
      <w:r>
        <w:rPr>
          <w:rFonts w:hint="eastAsia" w:ascii="仿宋_GB2312" w:eastAsia="仿宋_GB2312"/>
          <w:b/>
          <w:bCs/>
          <w:sz w:val="32"/>
          <w:szCs w:val="32"/>
        </w:rPr>
        <w:t>聚力</w:t>
      </w:r>
      <w:r>
        <w:rPr>
          <w:rFonts w:hint="eastAsia" w:ascii="仿宋_GB2312" w:eastAsia="仿宋_GB2312"/>
          <w:b/>
          <w:sz w:val="32"/>
          <w:szCs w:val="32"/>
        </w:rPr>
        <w:t>基础设施强化。</w:t>
      </w:r>
      <w:r>
        <w:rPr>
          <w:rFonts w:hint="eastAsia" w:eastAsia="仿宋_GB2312"/>
          <w:sz w:val="32"/>
          <w:szCs w:val="32"/>
        </w:rPr>
        <w:t>启动东山中路和环城南路拆迁，实施环城东路、环城南路等道路建设和广义北路综合改造工程，适时启动环城西路拆迁，推进世纪大道等主要道路节点改造，加快新客运站建成投用。构建现代化交通网络，积极做好通苏嘉甬铁路、杭甬高速复线建设配合工作。保障杭州湾引水工程建设。保持停车场建设力度，新建停车位1500个以上。</w:t>
      </w:r>
      <w:r>
        <w:rPr>
          <w:rFonts w:hint="eastAsia" w:ascii="仿宋_GB2312" w:hAnsi="Microsoft YaHei UI" w:eastAsia="仿宋_GB2312"/>
          <w:b/>
          <w:bCs/>
          <w:sz w:val="32"/>
          <w:szCs w:val="27"/>
          <w:shd w:val="clear" w:color="auto" w:fill="FFFFFF"/>
        </w:rPr>
        <w:t>聚力</w:t>
      </w:r>
      <w:r>
        <w:rPr>
          <w:rFonts w:hint="eastAsia" w:ascii="仿宋_GB2312" w:eastAsia="仿宋_GB2312"/>
          <w:b/>
          <w:sz w:val="32"/>
          <w:szCs w:val="32"/>
        </w:rPr>
        <w:t>管理能力深化。</w:t>
      </w:r>
      <w:r>
        <w:rPr>
          <w:rFonts w:hint="eastAsia" w:eastAsia="仿宋_GB2312"/>
          <w:sz w:val="32"/>
          <w:szCs w:val="32"/>
        </w:rPr>
        <w:t>深化“基本无违建乡镇”创建，加大拆旧控新和法院裁执案件处置力度。全面落实危旧房屋管理，加强对全镇危旧房屋动态监测，保障房屋使用安全。加强联合执法力度，细化“路长制”管理，推进“两横两纵”示范路建设。</w:t>
      </w:r>
    </w:p>
    <w:p w14:paraId="1B074108">
      <w:pPr>
        <w:spacing w:line="570" w:lineRule="exact"/>
        <w:ind w:firstLine="630" w:firstLineChars="196"/>
        <w:rPr>
          <w:rFonts w:ascii="仿宋_GB2312" w:eastAsia="仿宋_GB2312"/>
          <w:sz w:val="32"/>
          <w:szCs w:val="32"/>
        </w:rPr>
      </w:pPr>
      <w:r>
        <w:rPr>
          <w:rFonts w:hint="eastAsia" w:ascii="楷体_GB2312" w:eastAsia="楷体_GB2312"/>
          <w:b/>
          <w:sz w:val="32"/>
          <w:szCs w:val="32"/>
        </w:rPr>
        <w:t>（三）坚持生态引领乡村振兴，丰盈城乡发展“绿色含量”。</w:t>
      </w:r>
      <w:r>
        <w:rPr>
          <w:rFonts w:hint="eastAsia" w:ascii="仿宋_GB2312" w:eastAsia="仿宋_GB2312"/>
          <w:b/>
          <w:sz w:val="32"/>
          <w:szCs w:val="32"/>
        </w:rPr>
        <w:t>统筹推进美丽乡村建设。</w:t>
      </w:r>
      <w:r>
        <w:rPr>
          <w:rFonts w:hint="eastAsia" w:eastAsia="仿宋_GB2312"/>
          <w:sz w:val="32"/>
          <w:szCs w:val="32"/>
        </w:rPr>
        <w:t>巩固国家卫生镇创建成果，完善长效管理机制。持续推进美丽观海卫建设，新增景观节点10个。强化污水管网运维，提高污水管网覆盖率，全年新建污水管网1公里，力争完成农村生活污水治理200户，整治河道28公里，疏浚土方13万方。扎实推进“厕所革命”，完成粪便处理中心建设。深入推进生活垃圾分类精细化规范化管理，实现垃圾分类达标全覆盖，启动垃圾有偿清运机制，稳步向村级开展试点推广。巩固“给全镇洗个澡”专项行动成果，完善长效机制，保持力度不减、标准不降。</w:t>
      </w:r>
      <w:r>
        <w:rPr>
          <w:rFonts w:hint="eastAsia" w:ascii="仿宋_GB2312" w:eastAsia="仿宋_GB2312"/>
          <w:b/>
          <w:sz w:val="32"/>
          <w:szCs w:val="32"/>
        </w:rPr>
        <w:t>加快</w:t>
      </w:r>
      <w:r>
        <w:rPr>
          <w:rFonts w:hint="eastAsia" w:ascii="仿宋_GB2312" w:eastAsia="仿宋_GB2312"/>
          <w:b/>
          <w:bCs/>
          <w:sz w:val="32"/>
          <w:szCs w:val="32"/>
        </w:rPr>
        <w:t>推动农业高质量发展</w:t>
      </w:r>
      <w:r>
        <w:rPr>
          <w:rFonts w:hint="eastAsia" w:ascii="仿宋_GB2312" w:eastAsia="仿宋_GB2312"/>
          <w:b/>
          <w:sz w:val="32"/>
          <w:szCs w:val="32"/>
        </w:rPr>
        <w:t>。</w:t>
      </w:r>
      <w:r>
        <w:rPr>
          <w:rFonts w:hint="eastAsia" w:ascii="仿宋_GB2312" w:hAnsi="Microsoft YaHei UI" w:eastAsia="仿宋_GB2312"/>
          <w:sz w:val="32"/>
          <w:szCs w:val="27"/>
          <w:shd w:val="clear" w:color="auto" w:fill="FFFFFF"/>
        </w:rPr>
        <w:t>加强农田水利改造，完善农业基础设施，实施高背浦东侧万亩农田基础设施提升工程。</w:t>
      </w:r>
      <w:r>
        <w:rPr>
          <w:rFonts w:hint="eastAsia" w:ascii="仿宋_GB2312" w:eastAsia="仿宋_GB2312"/>
          <w:sz w:val="32"/>
          <w:szCs w:val="32"/>
        </w:rPr>
        <w:t>加快转变农业发展方式，推进徐家浦田园综合体建设，培育壮大家庭农场、农民合作社、产业化龙头企业等新型农业经营主体。强化区域特色农业品牌创建，培育一批名特优新农产品。加快发展民宿经济、文创旅游、养生健康、运动休闲等新业态，推动农村一二三产业深度融合发展。</w:t>
      </w:r>
      <w:r>
        <w:rPr>
          <w:rFonts w:hint="eastAsia" w:ascii="仿宋_GB2312" w:eastAsia="仿宋_GB2312"/>
          <w:b/>
          <w:bCs/>
          <w:sz w:val="32"/>
          <w:szCs w:val="32"/>
        </w:rPr>
        <w:t>大力推进经济薄弱村消薄。</w:t>
      </w:r>
      <w:r>
        <w:rPr>
          <w:rFonts w:hint="eastAsia" w:ascii="仿宋_GB2312" w:eastAsia="仿宋_GB2312"/>
          <w:sz w:val="32"/>
          <w:szCs w:val="32"/>
        </w:rPr>
        <w:t>全面巩固提升“消薄”成果，进一步提升“消薄”质量和水平，打造一批壮大村级集体经济示范村。利用相关扶持政策，通过村内抱团、村村抱团等抱团取暖法和飞地物业，借助抖音、淘宝等平台直播带货方式开展多种方式的消薄。</w:t>
      </w:r>
      <w:r>
        <w:rPr>
          <w:rFonts w:hint="eastAsia" w:ascii="仿宋_GB2312" w:hAnsi="Microsoft YaHei UI" w:eastAsia="仿宋_GB2312"/>
          <w:sz w:val="32"/>
          <w:szCs w:val="27"/>
          <w:shd w:val="clear" w:color="auto" w:fill="FFFFFF"/>
        </w:rPr>
        <w:t>加快推动废弃山塘生态修复，壮大村级集体收入。</w:t>
      </w:r>
    </w:p>
    <w:p w14:paraId="74A8E6A9">
      <w:pPr>
        <w:spacing w:line="570" w:lineRule="exact"/>
        <w:ind w:firstLine="630" w:firstLineChars="196"/>
        <w:rPr>
          <w:rFonts w:eastAsia="仿宋_GB2312"/>
          <w:sz w:val="32"/>
          <w:szCs w:val="32"/>
        </w:rPr>
      </w:pPr>
      <w:r>
        <w:rPr>
          <w:rFonts w:hint="eastAsia" w:ascii="楷体_GB2312" w:eastAsia="楷体_GB2312"/>
          <w:b/>
          <w:sz w:val="32"/>
          <w:szCs w:val="32"/>
        </w:rPr>
        <w:t>（四）坚持民生引领社会保障，提升群众生活“幸福指数”。</w:t>
      </w:r>
      <w:r>
        <w:rPr>
          <w:rFonts w:hint="eastAsia" w:ascii="仿宋_GB2312" w:eastAsia="仿宋_GB2312"/>
          <w:b/>
          <w:sz w:val="32"/>
          <w:szCs w:val="32"/>
        </w:rPr>
        <w:t>加快优化教育资源调配。</w:t>
      </w:r>
      <w:r>
        <w:rPr>
          <w:rFonts w:hint="eastAsia" w:ascii="仿宋_GB2312" w:eastAsia="仿宋_GB2312"/>
          <w:sz w:val="32"/>
          <w:szCs w:val="32"/>
        </w:rPr>
        <w:t>适时启动卫前初中和锦堂职高拆迁扩建，做好实验二小迁建项目前期工作，确保教育资源优化调整助推教育质量提升。推进东山幼儿园项目前期工作，巩固卫前幼儿园省一级幼儿园创建成果。</w:t>
      </w:r>
      <w:r>
        <w:rPr>
          <w:rFonts w:hint="eastAsia" w:ascii="仿宋_GB2312" w:eastAsia="仿宋_GB2312"/>
          <w:b/>
          <w:sz w:val="32"/>
          <w:szCs w:val="32"/>
        </w:rPr>
        <w:t>加快提升卫生医疗服务。</w:t>
      </w:r>
      <w:r>
        <w:rPr>
          <w:rFonts w:hint="eastAsia" w:eastAsia="仿宋_GB2312"/>
          <w:sz w:val="32"/>
          <w:szCs w:val="32"/>
        </w:rPr>
        <w:t>建立完善疫情防控常态化机制，坚持各村（社区）、企业、学校疫情防控措施不放松，对入境人员、发热病人保持常态化管理。加强卫生室建设指导，完成9家规范化卫生室、7家合格化卫生室验收工作。深化健康村镇培育，完成12个健康示范村、930个健康家庭建设。加强健康单位、健康企业、健康食堂、健康角以及各类健康支持性环境创建指导，确保顺利通过市级部门验收。支持慈林医院规范建设发热门诊，完成镇医院中医馆搬迁改造和立体停车场建设项目。</w:t>
      </w:r>
      <w:r>
        <w:rPr>
          <w:rFonts w:hint="eastAsia" w:ascii="仿宋_GB2312" w:eastAsia="仿宋_GB2312"/>
          <w:b/>
          <w:sz w:val="32"/>
          <w:szCs w:val="32"/>
        </w:rPr>
        <w:t>加快落实救助帮扶工作。</w:t>
      </w:r>
      <w:r>
        <w:rPr>
          <w:rFonts w:hint="eastAsia" w:eastAsia="仿宋_GB2312"/>
          <w:sz w:val="32"/>
          <w:szCs w:val="32"/>
        </w:rPr>
        <w:t>加强困难户排摸，建立健全社会救助规范管理的长效机制。强化残疾人帮扶工作，完善“助明、助听、助行、助医”基础康复服务，不断提高残疾人就业创业成效，巩固宁波市级残疾人扶贫示范基地，辐射更多的残疾人共同致富。强化居家养老服务，完成10户困难老年人家庭适老化改造；力争做到80周岁以上老年人享受居家养老服务政策知晓率达到100%、享受服务率达到90%；不断完善社会保障体系，持续巩固社会保障覆盖面。实施全镇村级老年活动中心三年改造提升工程，当年改造100个以上。鼓励社会资本和专业运营力量参与养老服务事业，探索发展银发经济。规范村（社区）民兵连和基干民兵队伍建设，深化退役军人社会化服务工作。深化东西部结对帮扶和山海协作工作。</w:t>
      </w:r>
      <w:r>
        <w:rPr>
          <w:rFonts w:hint="eastAsia" w:ascii="仿宋_GB2312" w:eastAsia="仿宋_GB2312"/>
          <w:b/>
          <w:sz w:val="32"/>
          <w:szCs w:val="32"/>
        </w:rPr>
        <w:t>加快发展文化体育事业。</w:t>
      </w:r>
      <w:r>
        <w:rPr>
          <w:rFonts w:hint="eastAsia" w:eastAsia="仿宋_GB2312"/>
          <w:sz w:val="32"/>
          <w:szCs w:val="32"/>
        </w:rPr>
        <w:t>推进文化礼堂“建管用育”一体化发展，实现全镇村级文化礼堂基建全覆盖，实现已建文化礼堂得星率100%。打造观海卫文化品牌，深化“海卫讲堂”和“卫风轻送”品牌建设。加快鸣鹤运河桥等文保点维修，启动蒋学模故居陈列馆建设项目。引进第三方专业团队，适时启动大剧院装修工程。持续开展“家风家训”践行评选和乡风评议活动，加强道德模范和先进人物的培育选树，营造崇德向善、风清气正的良好社会氛围。</w:t>
      </w:r>
    </w:p>
    <w:p w14:paraId="0E9F403B">
      <w:pPr>
        <w:spacing w:line="570" w:lineRule="exact"/>
        <w:ind w:firstLine="630" w:firstLineChars="196"/>
        <w:rPr>
          <w:rFonts w:ascii="仿宋_GB2312" w:eastAsia="仿宋_GB2312"/>
          <w:sz w:val="32"/>
          <w:szCs w:val="32"/>
        </w:rPr>
      </w:pPr>
      <w:r>
        <w:rPr>
          <w:rFonts w:hint="eastAsia" w:ascii="楷体_GB2312" w:eastAsia="楷体_GB2312"/>
          <w:b/>
          <w:sz w:val="32"/>
          <w:szCs w:val="32"/>
        </w:rPr>
        <w:t>（五）坚持和谐引领基层治理，筑牢社会管理“基层底盘”。</w:t>
      </w:r>
      <w:r>
        <w:rPr>
          <w:rFonts w:hint="eastAsia" w:ascii="仿宋_GB2312" w:eastAsia="仿宋_GB2312"/>
          <w:b/>
          <w:sz w:val="32"/>
          <w:szCs w:val="32"/>
        </w:rPr>
        <w:t>着力强化基层社会治理。</w:t>
      </w:r>
      <w:r>
        <w:rPr>
          <w:rFonts w:hint="eastAsia" w:ascii="仿宋_GB2312" w:eastAsia="仿宋_GB2312"/>
          <w:sz w:val="32"/>
          <w:szCs w:val="32"/>
        </w:rPr>
        <w:t>完善立体化、信息化社会治安防控体系，强化“基层治理四平台”运行管理，实施“网格吹哨、部门报到”工作，积极推进网格员队伍规范化建设，提升网格上报事件质量，增强网格运行实效。推进社区、社会组织、社会工作“三社联动”，构建基层社会治理新格局。</w:t>
      </w:r>
      <w:r>
        <w:rPr>
          <w:rFonts w:hint="eastAsia" w:ascii="仿宋_GB2312" w:eastAsia="仿宋_GB2312"/>
          <w:b/>
          <w:sz w:val="32"/>
          <w:szCs w:val="32"/>
        </w:rPr>
        <w:t>着力化解各类信访矛盾。</w:t>
      </w:r>
      <w:r>
        <w:rPr>
          <w:rFonts w:hint="eastAsia" w:ascii="仿宋_GB2312" w:eastAsia="仿宋_GB2312"/>
          <w:sz w:val="32"/>
          <w:szCs w:val="32"/>
        </w:rPr>
        <w:t>坚持和发展新时代“枫桥经验”，充分</w:t>
      </w:r>
      <w:r>
        <w:rPr>
          <w:rFonts w:hint="eastAsia" w:eastAsia="仿宋_GB2312"/>
          <w:sz w:val="32"/>
          <w:szCs w:val="32"/>
        </w:rPr>
        <w:t>发挥镇矛盾纠纷多元化解中心作用</w:t>
      </w:r>
      <w:r>
        <w:rPr>
          <w:rFonts w:hint="eastAsia" w:ascii="仿宋_GB2312" w:eastAsia="仿宋_GB2312"/>
          <w:sz w:val="32"/>
          <w:szCs w:val="32"/>
        </w:rPr>
        <w:t>，把矛盾纠纷化解在基层。严格落实信访工作责任制，落实村（社区）书记第一责任，筑牢村社第一道防线，严格落实领导干部接访和信访包案责任制，积极化解信访积案。积极推进初信初访和邻里矛盾纠纷信访代办制度，努力实现“矛盾不上交、平安不出事、服务不缺位”。规范信访工作秩序，依法处置打击违法违规信访行为，切实改善信访生态。</w:t>
      </w:r>
      <w:r>
        <w:rPr>
          <w:rFonts w:hint="eastAsia" w:ascii="仿宋_GB2312" w:eastAsia="仿宋_GB2312"/>
          <w:b/>
          <w:sz w:val="32"/>
          <w:szCs w:val="32"/>
        </w:rPr>
        <w:t>着力保障社会公共安全。</w:t>
      </w:r>
      <w:r>
        <w:rPr>
          <w:rFonts w:hint="eastAsia" w:ascii="仿宋_GB2312" w:eastAsia="仿宋_GB2312"/>
          <w:sz w:val="32"/>
          <w:szCs w:val="32"/>
        </w:rPr>
        <w:t>强化“大平安”理念，加强公共安全监管体系建设，建立风险管控和隐患排查治理双重预防机制。压实安全生产企业主体责任，加强危化品使用单位、人员密集场所、老旧小区等隐患排查治理。</w:t>
      </w:r>
      <w:r>
        <w:rPr>
          <w:rFonts w:hint="eastAsia" w:eastAsia="仿宋_GB2312"/>
          <w:sz w:val="32"/>
          <w:szCs w:val="32"/>
        </w:rPr>
        <w:t>完成工业西区安监与消防站建设，</w:t>
      </w:r>
      <w:r>
        <w:rPr>
          <w:rFonts w:hint="eastAsia" w:ascii="仿宋_GB2312" w:eastAsia="仿宋_GB2312"/>
          <w:sz w:val="32"/>
          <w:szCs w:val="32"/>
        </w:rPr>
        <w:t>加快镇专职综合性消防应急救援队和企业消防应急救援队建设，开展突发事件应急演练，提升应急处置能力。</w:t>
      </w:r>
      <w:r>
        <w:rPr>
          <w:rFonts w:hint="eastAsia" w:eastAsia="仿宋_GB2312"/>
          <w:sz w:val="32"/>
          <w:szCs w:val="32"/>
        </w:rPr>
        <w:t>加强道路交通安全，持续整治黄毒赌，坚决防范和打击黑恶势力、电信诈骗及新型网络犯罪。</w:t>
      </w:r>
      <w:r>
        <w:rPr>
          <w:rFonts w:hint="eastAsia" w:ascii="仿宋_GB2312" w:eastAsia="仿宋_GB2312"/>
          <w:sz w:val="32"/>
          <w:szCs w:val="32"/>
        </w:rPr>
        <w:t>深化群防群治建设，深入开展平安村、平安工地等基层系列平安创建活动，完善专业力量巡防和志愿者巡防相结合机制，打造观海卫平安巡防新格局。</w:t>
      </w:r>
    </w:p>
    <w:p w14:paraId="3A9D849F">
      <w:pPr>
        <w:spacing w:line="570" w:lineRule="exact"/>
        <w:ind w:firstLine="643" w:firstLineChars="200"/>
        <w:rPr>
          <w:rFonts w:ascii="仿宋_GB2312" w:eastAsia="仿宋_GB2312"/>
          <w:sz w:val="32"/>
          <w:szCs w:val="32"/>
        </w:rPr>
      </w:pPr>
      <w:r>
        <w:rPr>
          <w:rFonts w:hint="eastAsia" w:ascii="楷体_GB2312" w:eastAsia="楷体_GB2312"/>
          <w:b/>
          <w:sz w:val="32"/>
          <w:szCs w:val="32"/>
        </w:rPr>
        <w:t>（六）坚持法治引领自身建设，体现治理能力“现代水平”。</w:t>
      </w:r>
      <w:r>
        <w:rPr>
          <w:rFonts w:hint="eastAsia" w:ascii="仿宋_GB2312" w:eastAsia="仿宋_GB2312"/>
          <w:b/>
          <w:sz w:val="32"/>
          <w:szCs w:val="32"/>
        </w:rPr>
        <w:t>推进法治型政府建设。</w:t>
      </w:r>
      <w:r>
        <w:rPr>
          <w:rFonts w:hint="eastAsia" w:ascii="仿宋_GB2312" w:eastAsia="仿宋_GB2312"/>
          <w:sz w:val="32"/>
          <w:szCs w:val="32"/>
        </w:rPr>
        <w:t>完善依法行政制度体系，实现合法性审查全覆盖。严格落实重大决策社会风险评估工作，提高决策科学化民主化水平。自觉接受各方监督，认真执行人大决议和决定，认真办好人大代表建议和政协委员提案，加快民生实事项目建设，不断改进和推动政府工作。健全政务公开公正机制，提高政务服务水平。</w:t>
      </w:r>
      <w:r>
        <w:rPr>
          <w:rFonts w:hint="eastAsia" w:ascii="仿宋_GB2312" w:eastAsia="仿宋_GB2312"/>
          <w:b/>
          <w:sz w:val="32"/>
          <w:szCs w:val="32"/>
        </w:rPr>
        <w:t>推进服务型政府建设。</w:t>
      </w:r>
      <w:r>
        <w:rPr>
          <w:rFonts w:hint="eastAsia" w:ascii="仿宋_GB2312" w:eastAsia="仿宋_GB2312"/>
          <w:sz w:val="32"/>
          <w:szCs w:val="32"/>
        </w:rPr>
        <w:t>深化“最多跑一次”改革，深入实施“一窗受理、集成服务”行政审批制度，推进村（社区）便民服务平台建设。深入开展“三服务”活动，切实帮助企业、群众、基层解决实际困难和问题。</w:t>
      </w:r>
      <w:r>
        <w:rPr>
          <w:rFonts w:hint="eastAsia" w:ascii="仿宋_GB2312" w:eastAsia="仿宋_GB2312"/>
          <w:b/>
          <w:sz w:val="32"/>
          <w:szCs w:val="32"/>
        </w:rPr>
        <w:t>推进勤廉型政府建设。</w:t>
      </w:r>
      <w:r>
        <w:rPr>
          <w:rFonts w:hint="eastAsia" w:ascii="仿宋_GB2312" w:eastAsia="仿宋_GB2312"/>
          <w:sz w:val="32"/>
          <w:szCs w:val="32"/>
        </w:rPr>
        <w:t>贯彻全面从严治党要求，深化村级小微权力清单制度，切实推动主体责任向农村基层深入延伸。强化公共资源交易管理，加强对村级公共资源交易的指导。严肃财经纪律，加强财务收支审计和绩效评价。严控“三公”经费支出，切实提高公共资金使用效益。</w:t>
      </w:r>
    </w:p>
    <w:sectPr>
      <w:footerReference r:id="rId3" w:type="default"/>
      <w:pgSz w:w="11906" w:h="16838"/>
      <w:pgMar w:top="2041" w:right="1531" w:bottom="1814"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Times New Roman"/>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Microsoft YaHei UI">
    <w:altName w:val="Droid Sans Fallback"/>
    <w:panose1 w:val="020B0503020204020204"/>
    <w:charset w:val="86"/>
    <w:family w:val="swiss"/>
    <w:pitch w:val="default"/>
    <w:sig w:usb0="00000000" w:usb1="00000000" w:usb2="00000016" w:usb3="00000000" w:csb0="0004001F" w:csb1="00000000"/>
  </w:font>
  <w:font w:name="Droid Sans Fallback">
    <w:panose1 w:val="020B0502000000000001"/>
    <w:charset w:val="86"/>
    <w:family w:val="auto"/>
    <w:pitch w:val="default"/>
    <w:sig w:usb0="910002FF" w:usb1="2BDFFCFB" w:usb2="00000036" w:usb3="00000000" w:csb0="203F01FF" w:csb1="D7FF0000"/>
  </w:font>
  <w:font w:name="DejaVu Sans">
    <w:panose1 w:val="020B0603030804020204"/>
    <w:charset w:val="00"/>
    <w:family w:val="auto"/>
    <w:pitch w:val="default"/>
    <w:sig w:usb0="E7006EFF" w:usb1="D200FDFF" w:usb2="0A246029" w:usb3="0400200C" w:csb0="600001FF" w:csb1="DFFF0000"/>
  </w:font>
  <w:font w:name="Noto Sans Symbols2">
    <w:panose1 w:val="020B0502040504020204"/>
    <w:charset w:val="00"/>
    <w:family w:val="auto"/>
    <w:pitch w:val="default"/>
    <w:sig w:usb0="80000003" w:usb1="0200E3E4" w:usb2="00040020" w:usb3="0580A048"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2501272"/>
    </w:sdtPr>
    <w:sdtContent>
      <w:p w14:paraId="0AD595FD">
        <w:pPr>
          <w:pStyle w:val="5"/>
          <w:jc w:val="center"/>
        </w:pPr>
        <w:r>
          <w:fldChar w:fldCharType="begin"/>
        </w:r>
        <w:r>
          <w:instrText xml:space="preserve"> PAGE   \* MERGEFORMAT </w:instrText>
        </w:r>
        <w:r>
          <w:fldChar w:fldCharType="separate"/>
        </w:r>
        <w:r>
          <w:rPr>
            <w:lang w:val="zh-CN"/>
          </w:rPr>
          <w:t>14</w:t>
        </w:r>
        <w:r>
          <w:rPr>
            <w:lang w:val="zh-CN"/>
          </w:rPr>
          <w:fldChar w:fldCharType="end"/>
        </w:r>
      </w:p>
    </w:sdtContent>
  </w:sdt>
  <w:p w14:paraId="54CFC1D7">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JlZWViNTZhN2ZiYmFjMjFhZGVjNzI3ZjNhNzYxOTMifQ=="/>
  </w:docVars>
  <w:rsids>
    <w:rsidRoot w:val="00F24B38"/>
    <w:rsid w:val="00000558"/>
    <w:rsid w:val="000005E3"/>
    <w:rsid w:val="00000F62"/>
    <w:rsid w:val="0000122C"/>
    <w:rsid w:val="00001832"/>
    <w:rsid w:val="00001D9C"/>
    <w:rsid w:val="000025D7"/>
    <w:rsid w:val="00002784"/>
    <w:rsid w:val="0000365C"/>
    <w:rsid w:val="00003BB5"/>
    <w:rsid w:val="000043CE"/>
    <w:rsid w:val="00004E0E"/>
    <w:rsid w:val="000112FF"/>
    <w:rsid w:val="00011BE5"/>
    <w:rsid w:val="00015BFF"/>
    <w:rsid w:val="00016A8B"/>
    <w:rsid w:val="0002029B"/>
    <w:rsid w:val="00020B03"/>
    <w:rsid w:val="000210FB"/>
    <w:rsid w:val="00022DB4"/>
    <w:rsid w:val="00022F4E"/>
    <w:rsid w:val="00023206"/>
    <w:rsid w:val="000241B2"/>
    <w:rsid w:val="000242C7"/>
    <w:rsid w:val="00026A48"/>
    <w:rsid w:val="00032188"/>
    <w:rsid w:val="00033525"/>
    <w:rsid w:val="000408FA"/>
    <w:rsid w:val="00040934"/>
    <w:rsid w:val="00040A9E"/>
    <w:rsid w:val="0004197A"/>
    <w:rsid w:val="00045214"/>
    <w:rsid w:val="0004764C"/>
    <w:rsid w:val="00047F19"/>
    <w:rsid w:val="00054396"/>
    <w:rsid w:val="00054734"/>
    <w:rsid w:val="000564FC"/>
    <w:rsid w:val="00056EAF"/>
    <w:rsid w:val="000605D2"/>
    <w:rsid w:val="00063B83"/>
    <w:rsid w:val="000677E5"/>
    <w:rsid w:val="00067D0D"/>
    <w:rsid w:val="000714F2"/>
    <w:rsid w:val="000717A2"/>
    <w:rsid w:val="000720E6"/>
    <w:rsid w:val="00073F99"/>
    <w:rsid w:val="00077650"/>
    <w:rsid w:val="0008010E"/>
    <w:rsid w:val="0008084B"/>
    <w:rsid w:val="00080CEE"/>
    <w:rsid w:val="00081965"/>
    <w:rsid w:val="00084E4D"/>
    <w:rsid w:val="000867AC"/>
    <w:rsid w:val="00090C04"/>
    <w:rsid w:val="00092243"/>
    <w:rsid w:val="00092983"/>
    <w:rsid w:val="00092B87"/>
    <w:rsid w:val="00095A50"/>
    <w:rsid w:val="00096002"/>
    <w:rsid w:val="000A04FC"/>
    <w:rsid w:val="000A258A"/>
    <w:rsid w:val="000A35AC"/>
    <w:rsid w:val="000A3D45"/>
    <w:rsid w:val="000A5370"/>
    <w:rsid w:val="000A601F"/>
    <w:rsid w:val="000B0410"/>
    <w:rsid w:val="000B1966"/>
    <w:rsid w:val="000B1F12"/>
    <w:rsid w:val="000B29FC"/>
    <w:rsid w:val="000B34AD"/>
    <w:rsid w:val="000B3979"/>
    <w:rsid w:val="000B490C"/>
    <w:rsid w:val="000B4AD8"/>
    <w:rsid w:val="000B592F"/>
    <w:rsid w:val="000B6E9C"/>
    <w:rsid w:val="000C4A61"/>
    <w:rsid w:val="000D103B"/>
    <w:rsid w:val="000D127D"/>
    <w:rsid w:val="000D16E5"/>
    <w:rsid w:val="000D64D4"/>
    <w:rsid w:val="000D705D"/>
    <w:rsid w:val="000D7209"/>
    <w:rsid w:val="000E084E"/>
    <w:rsid w:val="000E1724"/>
    <w:rsid w:val="000E1E60"/>
    <w:rsid w:val="000E2949"/>
    <w:rsid w:val="000E406F"/>
    <w:rsid w:val="000E4BAA"/>
    <w:rsid w:val="000E5487"/>
    <w:rsid w:val="000E57A3"/>
    <w:rsid w:val="000E6B39"/>
    <w:rsid w:val="000F1570"/>
    <w:rsid w:val="000F2ECC"/>
    <w:rsid w:val="000F3418"/>
    <w:rsid w:val="000F3B34"/>
    <w:rsid w:val="000F643F"/>
    <w:rsid w:val="00102014"/>
    <w:rsid w:val="00104689"/>
    <w:rsid w:val="001071C6"/>
    <w:rsid w:val="001119B1"/>
    <w:rsid w:val="0011280D"/>
    <w:rsid w:val="00113DA2"/>
    <w:rsid w:val="0011427B"/>
    <w:rsid w:val="00114AB0"/>
    <w:rsid w:val="001150D9"/>
    <w:rsid w:val="001171A2"/>
    <w:rsid w:val="0011728E"/>
    <w:rsid w:val="001221B7"/>
    <w:rsid w:val="00122D76"/>
    <w:rsid w:val="00122DAF"/>
    <w:rsid w:val="0012413C"/>
    <w:rsid w:val="00130078"/>
    <w:rsid w:val="0013105E"/>
    <w:rsid w:val="00131335"/>
    <w:rsid w:val="00131811"/>
    <w:rsid w:val="0013737D"/>
    <w:rsid w:val="001373FE"/>
    <w:rsid w:val="00137F6C"/>
    <w:rsid w:val="00141140"/>
    <w:rsid w:val="001426F8"/>
    <w:rsid w:val="00144131"/>
    <w:rsid w:val="00144CBF"/>
    <w:rsid w:val="00145DF4"/>
    <w:rsid w:val="0014615F"/>
    <w:rsid w:val="00151000"/>
    <w:rsid w:val="00151234"/>
    <w:rsid w:val="001534FC"/>
    <w:rsid w:val="001565E7"/>
    <w:rsid w:val="00157D40"/>
    <w:rsid w:val="00157FF1"/>
    <w:rsid w:val="001607AB"/>
    <w:rsid w:val="00162BC8"/>
    <w:rsid w:val="001657CE"/>
    <w:rsid w:val="001668FB"/>
    <w:rsid w:val="001674B0"/>
    <w:rsid w:val="0017097C"/>
    <w:rsid w:val="00172AF4"/>
    <w:rsid w:val="00172C4D"/>
    <w:rsid w:val="00173FBB"/>
    <w:rsid w:val="00176A9B"/>
    <w:rsid w:val="00180C73"/>
    <w:rsid w:val="001813F2"/>
    <w:rsid w:val="001824A5"/>
    <w:rsid w:val="00183339"/>
    <w:rsid w:val="00186542"/>
    <w:rsid w:val="00186809"/>
    <w:rsid w:val="0018681E"/>
    <w:rsid w:val="00187297"/>
    <w:rsid w:val="0019428F"/>
    <w:rsid w:val="00195D9B"/>
    <w:rsid w:val="001962F8"/>
    <w:rsid w:val="001A0F48"/>
    <w:rsid w:val="001A0FCB"/>
    <w:rsid w:val="001A1B3B"/>
    <w:rsid w:val="001A2AB0"/>
    <w:rsid w:val="001A31E4"/>
    <w:rsid w:val="001A498F"/>
    <w:rsid w:val="001A7062"/>
    <w:rsid w:val="001A7E8F"/>
    <w:rsid w:val="001B18F0"/>
    <w:rsid w:val="001B3E03"/>
    <w:rsid w:val="001B4B25"/>
    <w:rsid w:val="001B58F7"/>
    <w:rsid w:val="001B6570"/>
    <w:rsid w:val="001C04F3"/>
    <w:rsid w:val="001C0786"/>
    <w:rsid w:val="001C0DD0"/>
    <w:rsid w:val="001C3EAD"/>
    <w:rsid w:val="001D0EED"/>
    <w:rsid w:val="001D2B57"/>
    <w:rsid w:val="001D37E0"/>
    <w:rsid w:val="001D4FCD"/>
    <w:rsid w:val="001D6BCA"/>
    <w:rsid w:val="001E0FA4"/>
    <w:rsid w:val="001E11EE"/>
    <w:rsid w:val="001E16DD"/>
    <w:rsid w:val="001E1F22"/>
    <w:rsid w:val="001E2949"/>
    <w:rsid w:val="001E52D8"/>
    <w:rsid w:val="001E5F3D"/>
    <w:rsid w:val="001F0748"/>
    <w:rsid w:val="001F0D48"/>
    <w:rsid w:val="001F1D01"/>
    <w:rsid w:val="001F3804"/>
    <w:rsid w:val="001F490F"/>
    <w:rsid w:val="001F4C0F"/>
    <w:rsid w:val="001F7839"/>
    <w:rsid w:val="00200C1E"/>
    <w:rsid w:val="0020110E"/>
    <w:rsid w:val="00201288"/>
    <w:rsid w:val="00201D09"/>
    <w:rsid w:val="002047ED"/>
    <w:rsid w:val="00206C5A"/>
    <w:rsid w:val="002103E3"/>
    <w:rsid w:val="00213548"/>
    <w:rsid w:val="002135B3"/>
    <w:rsid w:val="00216489"/>
    <w:rsid w:val="00216B2A"/>
    <w:rsid w:val="002209B8"/>
    <w:rsid w:val="00221E6D"/>
    <w:rsid w:val="002230AE"/>
    <w:rsid w:val="00226F94"/>
    <w:rsid w:val="00231647"/>
    <w:rsid w:val="00231B06"/>
    <w:rsid w:val="00232B6A"/>
    <w:rsid w:val="00232BDB"/>
    <w:rsid w:val="002360A1"/>
    <w:rsid w:val="0023690B"/>
    <w:rsid w:val="00237009"/>
    <w:rsid w:val="0024252B"/>
    <w:rsid w:val="002455F2"/>
    <w:rsid w:val="00245F38"/>
    <w:rsid w:val="00250C88"/>
    <w:rsid w:val="002532EA"/>
    <w:rsid w:val="00255571"/>
    <w:rsid w:val="00262666"/>
    <w:rsid w:val="00265511"/>
    <w:rsid w:val="002655D2"/>
    <w:rsid w:val="002664BE"/>
    <w:rsid w:val="00267849"/>
    <w:rsid w:val="0027186C"/>
    <w:rsid w:val="00271DE9"/>
    <w:rsid w:val="002721C2"/>
    <w:rsid w:val="00273A00"/>
    <w:rsid w:val="002812FC"/>
    <w:rsid w:val="002834D8"/>
    <w:rsid w:val="00286120"/>
    <w:rsid w:val="00287469"/>
    <w:rsid w:val="00287FC9"/>
    <w:rsid w:val="002912C7"/>
    <w:rsid w:val="002932D5"/>
    <w:rsid w:val="002971C8"/>
    <w:rsid w:val="002976CD"/>
    <w:rsid w:val="00297EEE"/>
    <w:rsid w:val="002A0C23"/>
    <w:rsid w:val="002A6879"/>
    <w:rsid w:val="002A7D30"/>
    <w:rsid w:val="002B0374"/>
    <w:rsid w:val="002B123E"/>
    <w:rsid w:val="002B360B"/>
    <w:rsid w:val="002B3A91"/>
    <w:rsid w:val="002B3E9B"/>
    <w:rsid w:val="002B44B3"/>
    <w:rsid w:val="002B5A51"/>
    <w:rsid w:val="002B6F05"/>
    <w:rsid w:val="002B7F78"/>
    <w:rsid w:val="002C1E7E"/>
    <w:rsid w:val="002D1985"/>
    <w:rsid w:val="002D29A5"/>
    <w:rsid w:val="002D59C7"/>
    <w:rsid w:val="002D5C74"/>
    <w:rsid w:val="002D5E40"/>
    <w:rsid w:val="002D633F"/>
    <w:rsid w:val="002E054A"/>
    <w:rsid w:val="002E0663"/>
    <w:rsid w:val="002E11D2"/>
    <w:rsid w:val="002E1428"/>
    <w:rsid w:val="002E2D76"/>
    <w:rsid w:val="002E61BB"/>
    <w:rsid w:val="002F1D10"/>
    <w:rsid w:val="002F1F06"/>
    <w:rsid w:val="002F3353"/>
    <w:rsid w:val="002F3D11"/>
    <w:rsid w:val="002F47A3"/>
    <w:rsid w:val="002F527A"/>
    <w:rsid w:val="002F7BC1"/>
    <w:rsid w:val="0030358D"/>
    <w:rsid w:val="0030374D"/>
    <w:rsid w:val="00304859"/>
    <w:rsid w:val="00306472"/>
    <w:rsid w:val="00307915"/>
    <w:rsid w:val="00307EFF"/>
    <w:rsid w:val="00310F18"/>
    <w:rsid w:val="00311116"/>
    <w:rsid w:val="00313398"/>
    <w:rsid w:val="00315978"/>
    <w:rsid w:val="003160D6"/>
    <w:rsid w:val="00316DAA"/>
    <w:rsid w:val="00316FE6"/>
    <w:rsid w:val="00317235"/>
    <w:rsid w:val="00320B2B"/>
    <w:rsid w:val="003217DF"/>
    <w:rsid w:val="00324416"/>
    <w:rsid w:val="003244B2"/>
    <w:rsid w:val="00325195"/>
    <w:rsid w:val="00326A7B"/>
    <w:rsid w:val="00330250"/>
    <w:rsid w:val="00330D57"/>
    <w:rsid w:val="00332239"/>
    <w:rsid w:val="00332792"/>
    <w:rsid w:val="00332E1B"/>
    <w:rsid w:val="00334158"/>
    <w:rsid w:val="00334A83"/>
    <w:rsid w:val="00341520"/>
    <w:rsid w:val="00342B3B"/>
    <w:rsid w:val="00342C3B"/>
    <w:rsid w:val="00343F6E"/>
    <w:rsid w:val="0034568C"/>
    <w:rsid w:val="00345B19"/>
    <w:rsid w:val="00351B79"/>
    <w:rsid w:val="003554DE"/>
    <w:rsid w:val="00355E22"/>
    <w:rsid w:val="003603EC"/>
    <w:rsid w:val="00361203"/>
    <w:rsid w:val="00361710"/>
    <w:rsid w:val="00361B17"/>
    <w:rsid w:val="003620BC"/>
    <w:rsid w:val="00362BEE"/>
    <w:rsid w:val="00363570"/>
    <w:rsid w:val="003637AB"/>
    <w:rsid w:val="00363AB0"/>
    <w:rsid w:val="003644D6"/>
    <w:rsid w:val="00367772"/>
    <w:rsid w:val="00367FDC"/>
    <w:rsid w:val="00370147"/>
    <w:rsid w:val="00370175"/>
    <w:rsid w:val="00370F85"/>
    <w:rsid w:val="00371445"/>
    <w:rsid w:val="003726B5"/>
    <w:rsid w:val="00374358"/>
    <w:rsid w:val="00374544"/>
    <w:rsid w:val="00374F9C"/>
    <w:rsid w:val="00375CD5"/>
    <w:rsid w:val="00386870"/>
    <w:rsid w:val="003869B5"/>
    <w:rsid w:val="00390E1D"/>
    <w:rsid w:val="003916B6"/>
    <w:rsid w:val="003926A4"/>
    <w:rsid w:val="003927EB"/>
    <w:rsid w:val="00393FBD"/>
    <w:rsid w:val="00394D3A"/>
    <w:rsid w:val="00395BB1"/>
    <w:rsid w:val="00396868"/>
    <w:rsid w:val="00397B38"/>
    <w:rsid w:val="00397DE6"/>
    <w:rsid w:val="003A0B63"/>
    <w:rsid w:val="003A195E"/>
    <w:rsid w:val="003A2AFF"/>
    <w:rsid w:val="003A431A"/>
    <w:rsid w:val="003A45F4"/>
    <w:rsid w:val="003A5FA8"/>
    <w:rsid w:val="003A6F44"/>
    <w:rsid w:val="003B364F"/>
    <w:rsid w:val="003B36D9"/>
    <w:rsid w:val="003B4205"/>
    <w:rsid w:val="003B42B9"/>
    <w:rsid w:val="003B447E"/>
    <w:rsid w:val="003B4BA8"/>
    <w:rsid w:val="003B56E4"/>
    <w:rsid w:val="003B625D"/>
    <w:rsid w:val="003B6E76"/>
    <w:rsid w:val="003B74A3"/>
    <w:rsid w:val="003C10E7"/>
    <w:rsid w:val="003C3787"/>
    <w:rsid w:val="003C400D"/>
    <w:rsid w:val="003C618E"/>
    <w:rsid w:val="003C6DE5"/>
    <w:rsid w:val="003C74A5"/>
    <w:rsid w:val="003C7D93"/>
    <w:rsid w:val="003D0455"/>
    <w:rsid w:val="003D2FB6"/>
    <w:rsid w:val="003D395B"/>
    <w:rsid w:val="003D3D41"/>
    <w:rsid w:val="003E0D76"/>
    <w:rsid w:val="003E19F1"/>
    <w:rsid w:val="003E25DA"/>
    <w:rsid w:val="003E2C2D"/>
    <w:rsid w:val="003E355A"/>
    <w:rsid w:val="003E370B"/>
    <w:rsid w:val="003E5BE9"/>
    <w:rsid w:val="003E7B33"/>
    <w:rsid w:val="003F2728"/>
    <w:rsid w:val="003F52E9"/>
    <w:rsid w:val="003F54ED"/>
    <w:rsid w:val="003F6B7C"/>
    <w:rsid w:val="00403293"/>
    <w:rsid w:val="00405024"/>
    <w:rsid w:val="00407E1E"/>
    <w:rsid w:val="00411ADC"/>
    <w:rsid w:val="0041391E"/>
    <w:rsid w:val="00414633"/>
    <w:rsid w:val="004149E0"/>
    <w:rsid w:val="00415547"/>
    <w:rsid w:val="00415C6B"/>
    <w:rsid w:val="00417B7B"/>
    <w:rsid w:val="00420BF7"/>
    <w:rsid w:val="0042103F"/>
    <w:rsid w:val="00422C3D"/>
    <w:rsid w:val="00423014"/>
    <w:rsid w:val="00425C81"/>
    <w:rsid w:val="004262C3"/>
    <w:rsid w:val="00427F6A"/>
    <w:rsid w:val="00430C6A"/>
    <w:rsid w:val="004310C9"/>
    <w:rsid w:val="004312FE"/>
    <w:rsid w:val="00431EFD"/>
    <w:rsid w:val="004336FA"/>
    <w:rsid w:val="004339A7"/>
    <w:rsid w:val="004400DE"/>
    <w:rsid w:val="00441B40"/>
    <w:rsid w:val="00441C83"/>
    <w:rsid w:val="00442527"/>
    <w:rsid w:val="004429C7"/>
    <w:rsid w:val="004444E0"/>
    <w:rsid w:val="00445A2E"/>
    <w:rsid w:val="004469C3"/>
    <w:rsid w:val="00446AC1"/>
    <w:rsid w:val="0044711E"/>
    <w:rsid w:val="0045357F"/>
    <w:rsid w:val="00454982"/>
    <w:rsid w:val="00457B2D"/>
    <w:rsid w:val="00460653"/>
    <w:rsid w:val="004616B3"/>
    <w:rsid w:val="00470ED6"/>
    <w:rsid w:val="00473C32"/>
    <w:rsid w:val="00476CA2"/>
    <w:rsid w:val="00480627"/>
    <w:rsid w:val="004814D6"/>
    <w:rsid w:val="004823B3"/>
    <w:rsid w:val="00483396"/>
    <w:rsid w:val="004843BD"/>
    <w:rsid w:val="004845A9"/>
    <w:rsid w:val="00484FC0"/>
    <w:rsid w:val="00487572"/>
    <w:rsid w:val="00490E8C"/>
    <w:rsid w:val="00491799"/>
    <w:rsid w:val="00491935"/>
    <w:rsid w:val="00492788"/>
    <w:rsid w:val="00493AF7"/>
    <w:rsid w:val="00494CDD"/>
    <w:rsid w:val="0049580C"/>
    <w:rsid w:val="00495F96"/>
    <w:rsid w:val="00496A61"/>
    <w:rsid w:val="004A64F1"/>
    <w:rsid w:val="004A6CD0"/>
    <w:rsid w:val="004A6F22"/>
    <w:rsid w:val="004A7104"/>
    <w:rsid w:val="004A7A5A"/>
    <w:rsid w:val="004B0310"/>
    <w:rsid w:val="004B1C91"/>
    <w:rsid w:val="004B2089"/>
    <w:rsid w:val="004B26C4"/>
    <w:rsid w:val="004B3476"/>
    <w:rsid w:val="004B3C64"/>
    <w:rsid w:val="004B6AA3"/>
    <w:rsid w:val="004C10CE"/>
    <w:rsid w:val="004C1880"/>
    <w:rsid w:val="004C59BC"/>
    <w:rsid w:val="004C6D7B"/>
    <w:rsid w:val="004C73DE"/>
    <w:rsid w:val="004D0C9B"/>
    <w:rsid w:val="004D31EE"/>
    <w:rsid w:val="004D37CD"/>
    <w:rsid w:val="004D461E"/>
    <w:rsid w:val="004D58F8"/>
    <w:rsid w:val="004E0382"/>
    <w:rsid w:val="004E0D7E"/>
    <w:rsid w:val="004E18A4"/>
    <w:rsid w:val="004E4230"/>
    <w:rsid w:val="004E52FA"/>
    <w:rsid w:val="004E6FB9"/>
    <w:rsid w:val="004F0A06"/>
    <w:rsid w:val="004F4443"/>
    <w:rsid w:val="004F49A3"/>
    <w:rsid w:val="004F5083"/>
    <w:rsid w:val="004F6518"/>
    <w:rsid w:val="004F7F55"/>
    <w:rsid w:val="00500406"/>
    <w:rsid w:val="00501562"/>
    <w:rsid w:val="00502509"/>
    <w:rsid w:val="0050267D"/>
    <w:rsid w:val="00503A30"/>
    <w:rsid w:val="00504578"/>
    <w:rsid w:val="00506121"/>
    <w:rsid w:val="0051231D"/>
    <w:rsid w:val="00512719"/>
    <w:rsid w:val="00514734"/>
    <w:rsid w:val="00515115"/>
    <w:rsid w:val="00517D6D"/>
    <w:rsid w:val="00521450"/>
    <w:rsid w:val="0052168D"/>
    <w:rsid w:val="005223CE"/>
    <w:rsid w:val="005239ED"/>
    <w:rsid w:val="00526EEA"/>
    <w:rsid w:val="00530337"/>
    <w:rsid w:val="0053058E"/>
    <w:rsid w:val="00530895"/>
    <w:rsid w:val="0053249C"/>
    <w:rsid w:val="005348F6"/>
    <w:rsid w:val="00535F13"/>
    <w:rsid w:val="005365E8"/>
    <w:rsid w:val="0053684D"/>
    <w:rsid w:val="00540F5E"/>
    <w:rsid w:val="005415E9"/>
    <w:rsid w:val="005428D1"/>
    <w:rsid w:val="005459AA"/>
    <w:rsid w:val="005516B8"/>
    <w:rsid w:val="00553A24"/>
    <w:rsid w:val="00556204"/>
    <w:rsid w:val="0055627A"/>
    <w:rsid w:val="00557177"/>
    <w:rsid w:val="005574EC"/>
    <w:rsid w:val="00557F13"/>
    <w:rsid w:val="005608F4"/>
    <w:rsid w:val="0056109C"/>
    <w:rsid w:val="00562756"/>
    <w:rsid w:val="005665BF"/>
    <w:rsid w:val="00566F75"/>
    <w:rsid w:val="0056705B"/>
    <w:rsid w:val="0057246B"/>
    <w:rsid w:val="0057723E"/>
    <w:rsid w:val="00577532"/>
    <w:rsid w:val="0058055F"/>
    <w:rsid w:val="00580B1C"/>
    <w:rsid w:val="00581798"/>
    <w:rsid w:val="0058181D"/>
    <w:rsid w:val="00581873"/>
    <w:rsid w:val="0058271E"/>
    <w:rsid w:val="00587285"/>
    <w:rsid w:val="00591046"/>
    <w:rsid w:val="00591632"/>
    <w:rsid w:val="005924A8"/>
    <w:rsid w:val="00592F1F"/>
    <w:rsid w:val="00593FAF"/>
    <w:rsid w:val="00595E44"/>
    <w:rsid w:val="00596435"/>
    <w:rsid w:val="00596957"/>
    <w:rsid w:val="00597BA7"/>
    <w:rsid w:val="005A0852"/>
    <w:rsid w:val="005A23E6"/>
    <w:rsid w:val="005A37B6"/>
    <w:rsid w:val="005A50F4"/>
    <w:rsid w:val="005A55C0"/>
    <w:rsid w:val="005A67DE"/>
    <w:rsid w:val="005A6937"/>
    <w:rsid w:val="005A6A02"/>
    <w:rsid w:val="005A6D3D"/>
    <w:rsid w:val="005A70A7"/>
    <w:rsid w:val="005A7A14"/>
    <w:rsid w:val="005A7C79"/>
    <w:rsid w:val="005B09DB"/>
    <w:rsid w:val="005B0BC2"/>
    <w:rsid w:val="005B4C36"/>
    <w:rsid w:val="005B55D6"/>
    <w:rsid w:val="005C2B2E"/>
    <w:rsid w:val="005C4347"/>
    <w:rsid w:val="005C45CA"/>
    <w:rsid w:val="005C672C"/>
    <w:rsid w:val="005C6905"/>
    <w:rsid w:val="005C6A1F"/>
    <w:rsid w:val="005C7DB7"/>
    <w:rsid w:val="005D07DD"/>
    <w:rsid w:val="005D2B2E"/>
    <w:rsid w:val="005D32F2"/>
    <w:rsid w:val="005D44A0"/>
    <w:rsid w:val="005D5208"/>
    <w:rsid w:val="005E1342"/>
    <w:rsid w:val="005E1645"/>
    <w:rsid w:val="005E2A0D"/>
    <w:rsid w:val="005E5013"/>
    <w:rsid w:val="005E5C3A"/>
    <w:rsid w:val="005E62EB"/>
    <w:rsid w:val="005E7103"/>
    <w:rsid w:val="005F0D39"/>
    <w:rsid w:val="005F4C52"/>
    <w:rsid w:val="00601629"/>
    <w:rsid w:val="0060166E"/>
    <w:rsid w:val="00601B79"/>
    <w:rsid w:val="00604BEC"/>
    <w:rsid w:val="0060705A"/>
    <w:rsid w:val="00607FC5"/>
    <w:rsid w:val="006117BE"/>
    <w:rsid w:val="00613107"/>
    <w:rsid w:val="00613757"/>
    <w:rsid w:val="006150A7"/>
    <w:rsid w:val="00617313"/>
    <w:rsid w:val="00622003"/>
    <w:rsid w:val="00624AF4"/>
    <w:rsid w:val="006258AB"/>
    <w:rsid w:val="00626F3C"/>
    <w:rsid w:val="006301BE"/>
    <w:rsid w:val="0063186F"/>
    <w:rsid w:val="00632323"/>
    <w:rsid w:val="00632DA1"/>
    <w:rsid w:val="006346E9"/>
    <w:rsid w:val="006369D1"/>
    <w:rsid w:val="00637ADC"/>
    <w:rsid w:val="00637B0F"/>
    <w:rsid w:val="0064061C"/>
    <w:rsid w:val="00643513"/>
    <w:rsid w:val="006443C9"/>
    <w:rsid w:val="00647023"/>
    <w:rsid w:val="00647C10"/>
    <w:rsid w:val="00651221"/>
    <w:rsid w:val="00651951"/>
    <w:rsid w:val="006526B2"/>
    <w:rsid w:val="00652764"/>
    <w:rsid w:val="00652DB2"/>
    <w:rsid w:val="00656D54"/>
    <w:rsid w:val="00657093"/>
    <w:rsid w:val="00660937"/>
    <w:rsid w:val="00661D11"/>
    <w:rsid w:val="006621D5"/>
    <w:rsid w:val="00664AC1"/>
    <w:rsid w:val="00664FF5"/>
    <w:rsid w:val="006670D5"/>
    <w:rsid w:val="00670D0E"/>
    <w:rsid w:val="006720F8"/>
    <w:rsid w:val="00675B20"/>
    <w:rsid w:val="00676BCC"/>
    <w:rsid w:val="0068045F"/>
    <w:rsid w:val="0068152E"/>
    <w:rsid w:val="00683556"/>
    <w:rsid w:val="00685227"/>
    <w:rsid w:val="00685580"/>
    <w:rsid w:val="0068627C"/>
    <w:rsid w:val="006873A9"/>
    <w:rsid w:val="00691EE6"/>
    <w:rsid w:val="00694C0C"/>
    <w:rsid w:val="00695F68"/>
    <w:rsid w:val="006961B8"/>
    <w:rsid w:val="00697C11"/>
    <w:rsid w:val="006A0B21"/>
    <w:rsid w:val="006A0B61"/>
    <w:rsid w:val="006A0ED8"/>
    <w:rsid w:val="006A15F2"/>
    <w:rsid w:val="006A1849"/>
    <w:rsid w:val="006A1E37"/>
    <w:rsid w:val="006A2919"/>
    <w:rsid w:val="006A38D9"/>
    <w:rsid w:val="006A3B96"/>
    <w:rsid w:val="006A411D"/>
    <w:rsid w:val="006A42AB"/>
    <w:rsid w:val="006A5C0A"/>
    <w:rsid w:val="006A6D4A"/>
    <w:rsid w:val="006A710C"/>
    <w:rsid w:val="006A733A"/>
    <w:rsid w:val="006B1911"/>
    <w:rsid w:val="006B5B0F"/>
    <w:rsid w:val="006B5B7F"/>
    <w:rsid w:val="006B61D5"/>
    <w:rsid w:val="006C101C"/>
    <w:rsid w:val="006C3585"/>
    <w:rsid w:val="006C43D1"/>
    <w:rsid w:val="006C4469"/>
    <w:rsid w:val="006C4DE7"/>
    <w:rsid w:val="006C779A"/>
    <w:rsid w:val="006D0302"/>
    <w:rsid w:val="006D09F7"/>
    <w:rsid w:val="006D0BE9"/>
    <w:rsid w:val="006D13E1"/>
    <w:rsid w:val="006D2026"/>
    <w:rsid w:val="006D2FB3"/>
    <w:rsid w:val="006D663E"/>
    <w:rsid w:val="006D7FA8"/>
    <w:rsid w:val="006E1704"/>
    <w:rsid w:val="006E1E6D"/>
    <w:rsid w:val="006E2276"/>
    <w:rsid w:val="006E3BCC"/>
    <w:rsid w:val="006E4E5B"/>
    <w:rsid w:val="006E57E4"/>
    <w:rsid w:val="006E7EBB"/>
    <w:rsid w:val="006F4FC3"/>
    <w:rsid w:val="006F5935"/>
    <w:rsid w:val="006F59AD"/>
    <w:rsid w:val="007027E2"/>
    <w:rsid w:val="00702F5E"/>
    <w:rsid w:val="00703395"/>
    <w:rsid w:val="0070490E"/>
    <w:rsid w:val="00705356"/>
    <w:rsid w:val="00705774"/>
    <w:rsid w:val="00705EFE"/>
    <w:rsid w:val="007067FA"/>
    <w:rsid w:val="0070693C"/>
    <w:rsid w:val="007101D3"/>
    <w:rsid w:val="00712F72"/>
    <w:rsid w:val="007131BB"/>
    <w:rsid w:val="00713583"/>
    <w:rsid w:val="00714A00"/>
    <w:rsid w:val="00714CA2"/>
    <w:rsid w:val="00717834"/>
    <w:rsid w:val="00722743"/>
    <w:rsid w:val="00722B28"/>
    <w:rsid w:val="00722C47"/>
    <w:rsid w:val="00723965"/>
    <w:rsid w:val="00723AF0"/>
    <w:rsid w:val="00724A94"/>
    <w:rsid w:val="007259F6"/>
    <w:rsid w:val="00730137"/>
    <w:rsid w:val="007302EC"/>
    <w:rsid w:val="007309C5"/>
    <w:rsid w:val="0073439D"/>
    <w:rsid w:val="00734B3B"/>
    <w:rsid w:val="00734FFC"/>
    <w:rsid w:val="00735846"/>
    <w:rsid w:val="00735F87"/>
    <w:rsid w:val="007402D7"/>
    <w:rsid w:val="00746152"/>
    <w:rsid w:val="00752564"/>
    <w:rsid w:val="00752CF8"/>
    <w:rsid w:val="00756A7A"/>
    <w:rsid w:val="00757A9A"/>
    <w:rsid w:val="00762550"/>
    <w:rsid w:val="007665AB"/>
    <w:rsid w:val="00767360"/>
    <w:rsid w:val="00767747"/>
    <w:rsid w:val="00767FA3"/>
    <w:rsid w:val="00771120"/>
    <w:rsid w:val="00771E0F"/>
    <w:rsid w:val="00772398"/>
    <w:rsid w:val="007740D1"/>
    <w:rsid w:val="00774947"/>
    <w:rsid w:val="00776774"/>
    <w:rsid w:val="007774F6"/>
    <w:rsid w:val="007811F4"/>
    <w:rsid w:val="00781A56"/>
    <w:rsid w:val="00785D2C"/>
    <w:rsid w:val="00785E25"/>
    <w:rsid w:val="0078647A"/>
    <w:rsid w:val="00787403"/>
    <w:rsid w:val="00787753"/>
    <w:rsid w:val="00791AF5"/>
    <w:rsid w:val="00792B3A"/>
    <w:rsid w:val="00792F38"/>
    <w:rsid w:val="0079388C"/>
    <w:rsid w:val="00795FAF"/>
    <w:rsid w:val="00797A2D"/>
    <w:rsid w:val="00797B62"/>
    <w:rsid w:val="007A01F9"/>
    <w:rsid w:val="007A032E"/>
    <w:rsid w:val="007A0ADB"/>
    <w:rsid w:val="007A140B"/>
    <w:rsid w:val="007A37A8"/>
    <w:rsid w:val="007A4030"/>
    <w:rsid w:val="007A66D2"/>
    <w:rsid w:val="007A6946"/>
    <w:rsid w:val="007A7CA3"/>
    <w:rsid w:val="007B1D15"/>
    <w:rsid w:val="007B1D42"/>
    <w:rsid w:val="007B1DD5"/>
    <w:rsid w:val="007B3E8A"/>
    <w:rsid w:val="007B4528"/>
    <w:rsid w:val="007B7E14"/>
    <w:rsid w:val="007C0109"/>
    <w:rsid w:val="007C0CA1"/>
    <w:rsid w:val="007C0E1C"/>
    <w:rsid w:val="007C13EC"/>
    <w:rsid w:val="007C539F"/>
    <w:rsid w:val="007C57B6"/>
    <w:rsid w:val="007C6278"/>
    <w:rsid w:val="007C6D3F"/>
    <w:rsid w:val="007C7CF9"/>
    <w:rsid w:val="007D075B"/>
    <w:rsid w:val="007D0FFF"/>
    <w:rsid w:val="007D2A04"/>
    <w:rsid w:val="007D52C0"/>
    <w:rsid w:val="007D75FA"/>
    <w:rsid w:val="007E0762"/>
    <w:rsid w:val="007E1EB4"/>
    <w:rsid w:val="007E4CA7"/>
    <w:rsid w:val="007E4FED"/>
    <w:rsid w:val="007E59F3"/>
    <w:rsid w:val="007F057D"/>
    <w:rsid w:val="007F081F"/>
    <w:rsid w:val="007F12C3"/>
    <w:rsid w:val="007F210A"/>
    <w:rsid w:val="007F21FA"/>
    <w:rsid w:val="007F27D9"/>
    <w:rsid w:val="007F53DC"/>
    <w:rsid w:val="007F6035"/>
    <w:rsid w:val="007F6224"/>
    <w:rsid w:val="008030FB"/>
    <w:rsid w:val="00803E47"/>
    <w:rsid w:val="00804C24"/>
    <w:rsid w:val="00807039"/>
    <w:rsid w:val="008078FD"/>
    <w:rsid w:val="008110CC"/>
    <w:rsid w:val="00811927"/>
    <w:rsid w:val="00811B0B"/>
    <w:rsid w:val="00814580"/>
    <w:rsid w:val="008146B6"/>
    <w:rsid w:val="00814B6B"/>
    <w:rsid w:val="00815B50"/>
    <w:rsid w:val="008172BF"/>
    <w:rsid w:val="00817BC7"/>
    <w:rsid w:val="008202DF"/>
    <w:rsid w:val="008216AC"/>
    <w:rsid w:val="008225C3"/>
    <w:rsid w:val="00824425"/>
    <w:rsid w:val="00824542"/>
    <w:rsid w:val="00824D7D"/>
    <w:rsid w:val="00826DC6"/>
    <w:rsid w:val="0083066E"/>
    <w:rsid w:val="00830F08"/>
    <w:rsid w:val="00832150"/>
    <w:rsid w:val="00834A8E"/>
    <w:rsid w:val="00835070"/>
    <w:rsid w:val="00837049"/>
    <w:rsid w:val="00840B60"/>
    <w:rsid w:val="00842BBD"/>
    <w:rsid w:val="00843449"/>
    <w:rsid w:val="00846165"/>
    <w:rsid w:val="00851FC1"/>
    <w:rsid w:val="00852AFC"/>
    <w:rsid w:val="00853699"/>
    <w:rsid w:val="00853A80"/>
    <w:rsid w:val="008549B8"/>
    <w:rsid w:val="00855DC6"/>
    <w:rsid w:val="00856C4B"/>
    <w:rsid w:val="00857F06"/>
    <w:rsid w:val="0086070A"/>
    <w:rsid w:val="00862FCD"/>
    <w:rsid w:val="00863990"/>
    <w:rsid w:val="008646F4"/>
    <w:rsid w:val="00864FBC"/>
    <w:rsid w:val="00865BA6"/>
    <w:rsid w:val="00867B88"/>
    <w:rsid w:val="008718F5"/>
    <w:rsid w:val="00875032"/>
    <w:rsid w:val="00875EB7"/>
    <w:rsid w:val="0088098B"/>
    <w:rsid w:val="008817CE"/>
    <w:rsid w:val="008867FA"/>
    <w:rsid w:val="00886DCE"/>
    <w:rsid w:val="00886E61"/>
    <w:rsid w:val="00887ACD"/>
    <w:rsid w:val="008909F1"/>
    <w:rsid w:val="00890BB9"/>
    <w:rsid w:val="00891922"/>
    <w:rsid w:val="008929DB"/>
    <w:rsid w:val="00892F63"/>
    <w:rsid w:val="0089333B"/>
    <w:rsid w:val="00895B19"/>
    <w:rsid w:val="008975A7"/>
    <w:rsid w:val="008A1874"/>
    <w:rsid w:val="008A5FEE"/>
    <w:rsid w:val="008A73AE"/>
    <w:rsid w:val="008B03AA"/>
    <w:rsid w:val="008B1C3B"/>
    <w:rsid w:val="008C13A2"/>
    <w:rsid w:val="008C47D2"/>
    <w:rsid w:val="008C6268"/>
    <w:rsid w:val="008C7809"/>
    <w:rsid w:val="008C7946"/>
    <w:rsid w:val="008C795E"/>
    <w:rsid w:val="008C7A9D"/>
    <w:rsid w:val="008D05E7"/>
    <w:rsid w:val="008D2B00"/>
    <w:rsid w:val="008D403C"/>
    <w:rsid w:val="008D6E32"/>
    <w:rsid w:val="008D7C03"/>
    <w:rsid w:val="008E243C"/>
    <w:rsid w:val="008E3DF5"/>
    <w:rsid w:val="008E6DE7"/>
    <w:rsid w:val="008E7BF3"/>
    <w:rsid w:val="008F0623"/>
    <w:rsid w:val="008F0CD9"/>
    <w:rsid w:val="008F337B"/>
    <w:rsid w:val="008F36E3"/>
    <w:rsid w:val="008F3F14"/>
    <w:rsid w:val="008F414C"/>
    <w:rsid w:val="009001A7"/>
    <w:rsid w:val="0090022F"/>
    <w:rsid w:val="00902FB2"/>
    <w:rsid w:val="009034D7"/>
    <w:rsid w:val="00904848"/>
    <w:rsid w:val="0090601F"/>
    <w:rsid w:val="00907182"/>
    <w:rsid w:val="00910620"/>
    <w:rsid w:val="00910CBF"/>
    <w:rsid w:val="00910F0F"/>
    <w:rsid w:val="009117E9"/>
    <w:rsid w:val="00914744"/>
    <w:rsid w:val="00916B53"/>
    <w:rsid w:val="009175C2"/>
    <w:rsid w:val="00920A21"/>
    <w:rsid w:val="0092489D"/>
    <w:rsid w:val="0092508A"/>
    <w:rsid w:val="0092638C"/>
    <w:rsid w:val="00930AF9"/>
    <w:rsid w:val="00932B69"/>
    <w:rsid w:val="0093477C"/>
    <w:rsid w:val="009360ED"/>
    <w:rsid w:val="00941623"/>
    <w:rsid w:val="00944217"/>
    <w:rsid w:val="00945061"/>
    <w:rsid w:val="0094520B"/>
    <w:rsid w:val="0094609E"/>
    <w:rsid w:val="00946716"/>
    <w:rsid w:val="00946C71"/>
    <w:rsid w:val="00953B3C"/>
    <w:rsid w:val="00953D90"/>
    <w:rsid w:val="009541AC"/>
    <w:rsid w:val="00955941"/>
    <w:rsid w:val="00957F2C"/>
    <w:rsid w:val="00960D53"/>
    <w:rsid w:val="00961D78"/>
    <w:rsid w:val="00966B0E"/>
    <w:rsid w:val="0096743F"/>
    <w:rsid w:val="00971615"/>
    <w:rsid w:val="0097311E"/>
    <w:rsid w:val="00975F8F"/>
    <w:rsid w:val="009764BC"/>
    <w:rsid w:val="0097669A"/>
    <w:rsid w:val="0098145D"/>
    <w:rsid w:val="00981DD2"/>
    <w:rsid w:val="009820B5"/>
    <w:rsid w:val="009828BC"/>
    <w:rsid w:val="00982B84"/>
    <w:rsid w:val="0098328B"/>
    <w:rsid w:val="00983BB3"/>
    <w:rsid w:val="009845C0"/>
    <w:rsid w:val="009867E8"/>
    <w:rsid w:val="00987710"/>
    <w:rsid w:val="0098783B"/>
    <w:rsid w:val="009949B7"/>
    <w:rsid w:val="0099647A"/>
    <w:rsid w:val="00996D16"/>
    <w:rsid w:val="0099779B"/>
    <w:rsid w:val="0099787E"/>
    <w:rsid w:val="009A2C0E"/>
    <w:rsid w:val="009A331E"/>
    <w:rsid w:val="009A5A25"/>
    <w:rsid w:val="009A634A"/>
    <w:rsid w:val="009A6C7E"/>
    <w:rsid w:val="009B0AF5"/>
    <w:rsid w:val="009B0BA4"/>
    <w:rsid w:val="009B15A1"/>
    <w:rsid w:val="009B3FA7"/>
    <w:rsid w:val="009B5B12"/>
    <w:rsid w:val="009C20B6"/>
    <w:rsid w:val="009C20CC"/>
    <w:rsid w:val="009C244B"/>
    <w:rsid w:val="009C25D1"/>
    <w:rsid w:val="009C3CE0"/>
    <w:rsid w:val="009C7CB1"/>
    <w:rsid w:val="009D0338"/>
    <w:rsid w:val="009D23F9"/>
    <w:rsid w:val="009D244E"/>
    <w:rsid w:val="009D3115"/>
    <w:rsid w:val="009D4527"/>
    <w:rsid w:val="009D4EEC"/>
    <w:rsid w:val="009D69F9"/>
    <w:rsid w:val="009D6CF6"/>
    <w:rsid w:val="009E1F61"/>
    <w:rsid w:val="009E4FCB"/>
    <w:rsid w:val="009E5807"/>
    <w:rsid w:val="009E718E"/>
    <w:rsid w:val="009E7873"/>
    <w:rsid w:val="009F0DEB"/>
    <w:rsid w:val="009F121E"/>
    <w:rsid w:val="009F29C0"/>
    <w:rsid w:val="009F5F9D"/>
    <w:rsid w:val="00A007F1"/>
    <w:rsid w:val="00A02461"/>
    <w:rsid w:val="00A02B4C"/>
    <w:rsid w:val="00A10075"/>
    <w:rsid w:val="00A10F7F"/>
    <w:rsid w:val="00A120F2"/>
    <w:rsid w:val="00A13943"/>
    <w:rsid w:val="00A139EA"/>
    <w:rsid w:val="00A1431C"/>
    <w:rsid w:val="00A1715D"/>
    <w:rsid w:val="00A21049"/>
    <w:rsid w:val="00A24B14"/>
    <w:rsid w:val="00A3006D"/>
    <w:rsid w:val="00A3140B"/>
    <w:rsid w:val="00A31533"/>
    <w:rsid w:val="00A34DB1"/>
    <w:rsid w:val="00A35C48"/>
    <w:rsid w:val="00A369EB"/>
    <w:rsid w:val="00A401DB"/>
    <w:rsid w:val="00A429B6"/>
    <w:rsid w:val="00A43277"/>
    <w:rsid w:val="00A45759"/>
    <w:rsid w:val="00A47189"/>
    <w:rsid w:val="00A47258"/>
    <w:rsid w:val="00A50268"/>
    <w:rsid w:val="00A509CC"/>
    <w:rsid w:val="00A5349F"/>
    <w:rsid w:val="00A534A4"/>
    <w:rsid w:val="00A54E6C"/>
    <w:rsid w:val="00A6074A"/>
    <w:rsid w:val="00A610D7"/>
    <w:rsid w:val="00A62CDC"/>
    <w:rsid w:val="00A63F37"/>
    <w:rsid w:val="00A64721"/>
    <w:rsid w:val="00A66B6E"/>
    <w:rsid w:val="00A70377"/>
    <w:rsid w:val="00A71B4D"/>
    <w:rsid w:val="00A725BA"/>
    <w:rsid w:val="00A727DC"/>
    <w:rsid w:val="00A73274"/>
    <w:rsid w:val="00A73618"/>
    <w:rsid w:val="00A74035"/>
    <w:rsid w:val="00A76F5A"/>
    <w:rsid w:val="00A80A78"/>
    <w:rsid w:val="00A80E1D"/>
    <w:rsid w:val="00A81113"/>
    <w:rsid w:val="00A81575"/>
    <w:rsid w:val="00A82152"/>
    <w:rsid w:val="00A850AB"/>
    <w:rsid w:val="00A856B4"/>
    <w:rsid w:val="00A87AC3"/>
    <w:rsid w:val="00A90F23"/>
    <w:rsid w:val="00A91E02"/>
    <w:rsid w:val="00A956CC"/>
    <w:rsid w:val="00A95990"/>
    <w:rsid w:val="00A97EB9"/>
    <w:rsid w:val="00AA03D6"/>
    <w:rsid w:val="00AA16C3"/>
    <w:rsid w:val="00AA2056"/>
    <w:rsid w:val="00AA262C"/>
    <w:rsid w:val="00AA35A2"/>
    <w:rsid w:val="00AA4180"/>
    <w:rsid w:val="00AA5025"/>
    <w:rsid w:val="00AA73D0"/>
    <w:rsid w:val="00AA7857"/>
    <w:rsid w:val="00AB07CC"/>
    <w:rsid w:val="00AB1677"/>
    <w:rsid w:val="00AB43FE"/>
    <w:rsid w:val="00AB568F"/>
    <w:rsid w:val="00AB5B3A"/>
    <w:rsid w:val="00AB637F"/>
    <w:rsid w:val="00AC23CB"/>
    <w:rsid w:val="00AD0ED5"/>
    <w:rsid w:val="00AD0F03"/>
    <w:rsid w:val="00AD3128"/>
    <w:rsid w:val="00AD52A6"/>
    <w:rsid w:val="00AD699F"/>
    <w:rsid w:val="00AD73E1"/>
    <w:rsid w:val="00AE270C"/>
    <w:rsid w:val="00AE2DC9"/>
    <w:rsid w:val="00AE6826"/>
    <w:rsid w:val="00AE6CD0"/>
    <w:rsid w:val="00AE7992"/>
    <w:rsid w:val="00AE7DFD"/>
    <w:rsid w:val="00AF102A"/>
    <w:rsid w:val="00AF1428"/>
    <w:rsid w:val="00AF21BC"/>
    <w:rsid w:val="00AF44D8"/>
    <w:rsid w:val="00AF5AA7"/>
    <w:rsid w:val="00AF7E61"/>
    <w:rsid w:val="00B00B58"/>
    <w:rsid w:val="00B0271D"/>
    <w:rsid w:val="00B06B93"/>
    <w:rsid w:val="00B12717"/>
    <w:rsid w:val="00B12D92"/>
    <w:rsid w:val="00B13A38"/>
    <w:rsid w:val="00B14524"/>
    <w:rsid w:val="00B16B38"/>
    <w:rsid w:val="00B173AF"/>
    <w:rsid w:val="00B20941"/>
    <w:rsid w:val="00B22392"/>
    <w:rsid w:val="00B23058"/>
    <w:rsid w:val="00B2401A"/>
    <w:rsid w:val="00B24274"/>
    <w:rsid w:val="00B24FEE"/>
    <w:rsid w:val="00B30129"/>
    <w:rsid w:val="00B3152B"/>
    <w:rsid w:val="00B328DF"/>
    <w:rsid w:val="00B362BB"/>
    <w:rsid w:val="00B37720"/>
    <w:rsid w:val="00B37A26"/>
    <w:rsid w:val="00B40EDC"/>
    <w:rsid w:val="00B4213B"/>
    <w:rsid w:val="00B4498F"/>
    <w:rsid w:val="00B51C78"/>
    <w:rsid w:val="00B537E6"/>
    <w:rsid w:val="00B53E28"/>
    <w:rsid w:val="00B54931"/>
    <w:rsid w:val="00B55506"/>
    <w:rsid w:val="00B618BA"/>
    <w:rsid w:val="00B61B82"/>
    <w:rsid w:val="00B62894"/>
    <w:rsid w:val="00B62EF1"/>
    <w:rsid w:val="00B663AC"/>
    <w:rsid w:val="00B66C90"/>
    <w:rsid w:val="00B66FC0"/>
    <w:rsid w:val="00B67935"/>
    <w:rsid w:val="00B70321"/>
    <w:rsid w:val="00B721F7"/>
    <w:rsid w:val="00B73484"/>
    <w:rsid w:val="00B75507"/>
    <w:rsid w:val="00B772EE"/>
    <w:rsid w:val="00B81171"/>
    <w:rsid w:val="00B82A4D"/>
    <w:rsid w:val="00B82EBE"/>
    <w:rsid w:val="00B83275"/>
    <w:rsid w:val="00B8336B"/>
    <w:rsid w:val="00B87595"/>
    <w:rsid w:val="00B91F2B"/>
    <w:rsid w:val="00B92B41"/>
    <w:rsid w:val="00B94BD0"/>
    <w:rsid w:val="00B950A5"/>
    <w:rsid w:val="00B95979"/>
    <w:rsid w:val="00B96207"/>
    <w:rsid w:val="00B9692D"/>
    <w:rsid w:val="00B96AFE"/>
    <w:rsid w:val="00B96B8F"/>
    <w:rsid w:val="00BA0803"/>
    <w:rsid w:val="00BA2434"/>
    <w:rsid w:val="00BA4020"/>
    <w:rsid w:val="00BA4AAD"/>
    <w:rsid w:val="00BA5F89"/>
    <w:rsid w:val="00BA725C"/>
    <w:rsid w:val="00BA741C"/>
    <w:rsid w:val="00BA7DF2"/>
    <w:rsid w:val="00BB0D08"/>
    <w:rsid w:val="00BB1472"/>
    <w:rsid w:val="00BB204E"/>
    <w:rsid w:val="00BB2A5C"/>
    <w:rsid w:val="00BB320F"/>
    <w:rsid w:val="00BB3DF8"/>
    <w:rsid w:val="00BB6228"/>
    <w:rsid w:val="00BB6D7A"/>
    <w:rsid w:val="00BB71B7"/>
    <w:rsid w:val="00BB736F"/>
    <w:rsid w:val="00BC0DA1"/>
    <w:rsid w:val="00BC1153"/>
    <w:rsid w:val="00BC1B36"/>
    <w:rsid w:val="00BC1C0E"/>
    <w:rsid w:val="00BC4C07"/>
    <w:rsid w:val="00BC6272"/>
    <w:rsid w:val="00BC761C"/>
    <w:rsid w:val="00BD0A40"/>
    <w:rsid w:val="00BD1611"/>
    <w:rsid w:val="00BD1D8C"/>
    <w:rsid w:val="00BD3EF2"/>
    <w:rsid w:val="00BD5CBF"/>
    <w:rsid w:val="00BE1E5C"/>
    <w:rsid w:val="00BE33D9"/>
    <w:rsid w:val="00BE47C9"/>
    <w:rsid w:val="00BE6FAE"/>
    <w:rsid w:val="00BE7073"/>
    <w:rsid w:val="00BE7252"/>
    <w:rsid w:val="00BE7BC8"/>
    <w:rsid w:val="00BE7FDE"/>
    <w:rsid w:val="00BF0284"/>
    <w:rsid w:val="00BF136F"/>
    <w:rsid w:val="00BF24CD"/>
    <w:rsid w:val="00BF277A"/>
    <w:rsid w:val="00BF2BB0"/>
    <w:rsid w:val="00BF54CB"/>
    <w:rsid w:val="00C06689"/>
    <w:rsid w:val="00C07220"/>
    <w:rsid w:val="00C07753"/>
    <w:rsid w:val="00C1042E"/>
    <w:rsid w:val="00C1043D"/>
    <w:rsid w:val="00C10F20"/>
    <w:rsid w:val="00C11ECE"/>
    <w:rsid w:val="00C14625"/>
    <w:rsid w:val="00C17870"/>
    <w:rsid w:val="00C2247C"/>
    <w:rsid w:val="00C24D22"/>
    <w:rsid w:val="00C25E91"/>
    <w:rsid w:val="00C32E73"/>
    <w:rsid w:val="00C352D7"/>
    <w:rsid w:val="00C35416"/>
    <w:rsid w:val="00C36A55"/>
    <w:rsid w:val="00C36EA6"/>
    <w:rsid w:val="00C40D20"/>
    <w:rsid w:val="00C4149C"/>
    <w:rsid w:val="00C4160B"/>
    <w:rsid w:val="00C4283D"/>
    <w:rsid w:val="00C463D4"/>
    <w:rsid w:val="00C46B67"/>
    <w:rsid w:val="00C50536"/>
    <w:rsid w:val="00C5053A"/>
    <w:rsid w:val="00C50AD9"/>
    <w:rsid w:val="00C50CE5"/>
    <w:rsid w:val="00C52507"/>
    <w:rsid w:val="00C55D90"/>
    <w:rsid w:val="00C56807"/>
    <w:rsid w:val="00C56D01"/>
    <w:rsid w:val="00C57E03"/>
    <w:rsid w:val="00C57F0D"/>
    <w:rsid w:val="00C629A9"/>
    <w:rsid w:val="00C642F0"/>
    <w:rsid w:val="00C647BD"/>
    <w:rsid w:val="00C64BAD"/>
    <w:rsid w:val="00C703F9"/>
    <w:rsid w:val="00C70617"/>
    <w:rsid w:val="00C72A0E"/>
    <w:rsid w:val="00C72FC8"/>
    <w:rsid w:val="00C759B1"/>
    <w:rsid w:val="00C76012"/>
    <w:rsid w:val="00C76D7F"/>
    <w:rsid w:val="00C772BA"/>
    <w:rsid w:val="00C77D37"/>
    <w:rsid w:val="00C84822"/>
    <w:rsid w:val="00C848B1"/>
    <w:rsid w:val="00C90A0B"/>
    <w:rsid w:val="00C923AB"/>
    <w:rsid w:val="00C92B1B"/>
    <w:rsid w:val="00C96628"/>
    <w:rsid w:val="00C96CE7"/>
    <w:rsid w:val="00CA0804"/>
    <w:rsid w:val="00CA1163"/>
    <w:rsid w:val="00CA3856"/>
    <w:rsid w:val="00CA3EA8"/>
    <w:rsid w:val="00CA4253"/>
    <w:rsid w:val="00CA4265"/>
    <w:rsid w:val="00CA43AA"/>
    <w:rsid w:val="00CA4BD7"/>
    <w:rsid w:val="00CA5984"/>
    <w:rsid w:val="00CA6493"/>
    <w:rsid w:val="00CA6BE4"/>
    <w:rsid w:val="00CA77B1"/>
    <w:rsid w:val="00CA7A80"/>
    <w:rsid w:val="00CB1B98"/>
    <w:rsid w:val="00CB25D2"/>
    <w:rsid w:val="00CB3C82"/>
    <w:rsid w:val="00CB46EB"/>
    <w:rsid w:val="00CB5C62"/>
    <w:rsid w:val="00CB78E2"/>
    <w:rsid w:val="00CC095F"/>
    <w:rsid w:val="00CC145B"/>
    <w:rsid w:val="00CC1EBB"/>
    <w:rsid w:val="00CC1F29"/>
    <w:rsid w:val="00CC2547"/>
    <w:rsid w:val="00CC45D3"/>
    <w:rsid w:val="00CC6474"/>
    <w:rsid w:val="00CD232A"/>
    <w:rsid w:val="00CD4174"/>
    <w:rsid w:val="00CD5721"/>
    <w:rsid w:val="00CD6645"/>
    <w:rsid w:val="00CE205A"/>
    <w:rsid w:val="00CE2186"/>
    <w:rsid w:val="00CE26FF"/>
    <w:rsid w:val="00CE3853"/>
    <w:rsid w:val="00CE489F"/>
    <w:rsid w:val="00CE6281"/>
    <w:rsid w:val="00CE71D9"/>
    <w:rsid w:val="00CF242C"/>
    <w:rsid w:val="00CF2AB2"/>
    <w:rsid w:val="00CF4DB8"/>
    <w:rsid w:val="00CF529D"/>
    <w:rsid w:val="00CF67D0"/>
    <w:rsid w:val="00CF7F51"/>
    <w:rsid w:val="00D00144"/>
    <w:rsid w:val="00D00FDA"/>
    <w:rsid w:val="00D01723"/>
    <w:rsid w:val="00D02EB7"/>
    <w:rsid w:val="00D04E20"/>
    <w:rsid w:val="00D06972"/>
    <w:rsid w:val="00D06B0C"/>
    <w:rsid w:val="00D06C54"/>
    <w:rsid w:val="00D06DEF"/>
    <w:rsid w:val="00D11276"/>
    <w:rsid w:val="00D13B9D"/>
    <w:rsid w:val="00D1406D"/>
    <w:rsid w:val="00D142AE"/>
    <w:rsid w:val="00D147F7"/>
    <w:rsid w:val="00D14C43"/>
    <w:rsid w:val="00D14E01"/>
    <w:rsid w:val="00D15EFB"/>
    <w:rsid w:val="00D15F3B"/>
    <w:rsid w:val="00D162B6"/>
    <w:rsid w:val="00D17031"/>
    <w:rsid w:val="00D17A00"/>
    <w:rsid w:val="00D2011D"/>
    <w:rsid w:val="00D21538"/>
    <w:rsid w:val="00D21F26"/>
    <w:rsid w:val="00D23136"/>
    <w:rsid w:val="00D23542"/>
    <w:rsid w:val="00D23827"/>
    <w:rsid w:val="00D2399A"/>
    <w:rsid w:val="00D24E3F"/>
    <w:rsid w:val="00D25B0A"/>
    <w:rsid w:val="00D310B3"/>
    <w:rsid w:val="00D316CC"/>
    <w:rsid w:val="00D321DD"/>
    <w:rsid w:val="00D3336E"/>
    <w:rsid w:val="00D33371"/>
    <w:rsid w:val="00D344AE"/>
    <w:rsid w:val="00D34F0A"/>
    <w:rsid w:val="00D351A4"/>
    <w:rsid w:val="00D35B86"/>
    <w:rsid w:val="00D419B2"/>
    <w:rsid w:val="00D41B8A"/>
    <w:rsid w:val="00D4334B"/>
    <w:rsid w:val="00D45120"/>
    <w:rsid w:val="00D472D0"/>
    <w:rsid w:val="00D4735D"/>
    <w:rsid w:val="00D50BC8"/>
    <w:rsid w:val="00D50D6D"/>
    <w:rsid w:val="00D50FBB"/>
    <w:rsid w:val="00D5165A"/>
    <w:rsid w:val="00D52369"/>
    <w:rsid w:val="00D5296A"/>
    <w:rsid w:val="00D52FBD"/>
    <w:rsid w:val="00D53705"/>
    <w:rsid w:val="00D53C56"/>
    <w:rsid w:val="00D553A7"/>
    <w:rsid w:val="00D5554E"/>
    <w:rsid w:val="00D575D0"/>
    <w:rsid w:val="00D60162"/>
    <w:rsid w:val="00D60E10"/>
    <w:rsid w:val="00D61D4F"/>
    <w:rsid w:val="00D66844"/>
    <w:rsid w:val="00D66DD7"/>
    <w:rsid w:val="00D703D4"/>
    <w:rsid w:val="00D71475"/>
    <w:rsid w:val="00D73313"/>
    <w:rsid w:val="00D76856"/>
    <w:rsid w:val="00D80A26"/>
    <w:rsid w:val="00D8195F"/>
    <w:rsid w:val="00D8235D"/>
    <w:rsid w:val="00D83669"/>
    <w:rsid w:val="00D83E8D"/>
    <w:rsid w:val="00D8486C"/>
    <w:rsid w:val="00D84E65"/>
    <w:rsid w:val="00D861B9"/>
    <w:rsid w:val="00D873FA"/>
    <w:rsid w:val="00D878F2"/>
    <w:rsid w:val="00D93062"/>
    <w:rsid w:val="00D933A3"/>
    <w:rsid w:val="00D96A1F"/>
    <w:rsid w:val="00D972F3"/>
    <w:rsid w:val="00D97829"/>
    <w:rsid w:val="00DA124F"/>
    <w:rsid w:val="00DA1C6D"/>
    <w:rsid w:val="00DA34AA"/>
    <w:rsid w:val="00DA4B75"/>
    <w:rsid w:val="00DA5102"/>
    <w:rsid w:val="00DA6FEB"/>
    <w:rsid w:val="00DA7CD3"/>
    <w:rsid w:val="00DB0908"/>
    <w:rsid w:val="00DB0F48"/>
    <w:rsid w:val="00DB0FEA"/>
    <w:rsid w:val="00DB235E"/>
    <w:rsid w:val="00DB321B"/>
    <w:rsid w:val="00DB3EB0"/>
    <w:rsid w:val="00DB5127"/>
    <w:rsid w:val="00DB60BE"/>
    <w:rsid w:val="00DC22BA"/>
    <w:rsid w:val="00DC24BF"/>
    <w:rsid w:val="00DC4211"/>
    <w:rsid w:val="00DC4F56"/>
    <w:rsid w:val="00DD12F8"/>
    <w:rsid w:val="00DD2692"/>
    <w:rsid w:val="00DD3BFB"/>
    <w:rsid w:val="00DD3DEA"/>
    <w:rsid w:val="00DD502C"/>
    <w:rsid w:val="00DD685E"/>
    <w:rsid w:val="00DE13EA"/>
    <w:rsid w:val="00DE2184"/>
    <w:rsid w:val="00DE2341"/>
    <w:rsid w:val="00DE50DE"/>
    <w:rsid w:val="00DE6017"/>
    <w:rsid w:val="00DF097A"/>
    <w:rsid w:val="00DF1F65"/>
    <w:rsid w:val="00DF6C59"/>
    <w:rsid w:val="00DF7A1C"/>
    <w:rsid w:val="00E009E4"/>
    <w:rsid w:val="00E01523"/>
    <w:rsid w:val="00E01CCC"/>
    <w:rsid w:val="00E02089"/>
    <w:rsid w:val="00E0242C"/>
    <w:rsid w:val="00E02BFB"/>
    <w:rsid w:val="00E04936"/>
    <w:rsid w:val="00E05180"/>
    <w:rsid w:val="00E06BA2"/>
    <w:rsid w:val="00E12704"/>
    <w:rsid w:val="00E12898"/>
    <w:rsid w:val="00E14054"/>
    <w:rsid w:val="00E15A16"/>
    <w:rsid w:val="00E1607D"/>
    <w:rsid w:val="00E171C7"/>
    <w:rsid w:val="00E17379"/>
    <w:rsid w:val="00E17E66"/>
    <w:rsid w:val="00E20704"/>
    <w:rsid w:val="00E20BF2"/>
    <w:rsid w:val="00E21518"/>
    <w:rsid w:val="00E22706"/>
    <w:rsid w:val="00E22AAA"/>
    <w:rsid w:val="00E254C3"/>
    <w:rsid w:val="00E26467"/>
    <w:rsid w:val="00E36720"/>
    <w:rsid w:val="00E374AB"/>
    <w:rsid w:val="00E37866"/>
    <w:rsid w:val="00E432E5"/>
    <w:rsid w:val="00E43423"/>
    <w:rsid w:val="00E435DE"/>
    <w:rsid w:val="00E47CA8"/>
    <w:rsid w:val="00E50973"/>
    <w:rsid w:val="00E513E3"/>
    <w:rsid w:val="00E53E35"/>
    <w:rsid w:val="00E54B44"/>
    <w:rsid w:val="00E569EB"/>
    <w:rsid w:val="00E606B7"/>
    <w:rsid w:val="00E60F7F"/>
    <w:rsid w:val="00E6360F"/>
    <w:rsid w:val="00E64018"/>
    <w:rsid w:val="00E64566"/>
    <w:rsid w:val="00E64F1C"/>
    <w:rsid w:val="00E660E9"/>
    <w:rsid w:val="00E66FE4"/>
    <w:rsid w:val="00E6714C"/>
    <w:rsid w:val="00E7238B"/>
    <w:rsid w:val="00E72C61"/>
    <w:rsid w:val="00E7341C"/>
    <w:rsid w:val="00E73623"/>
    <w:rsid w:val="00E73BFE"/>
    <w:rsid w:val="00E74134"/>
    <w:rsid w:val="00E758AC"/>
    <w:rsid w:val="00E765D1"/>
    <w:rsid w:val="00E76899"/>
    <w:rsid w:val="00E8134D"/>
    <w:rsid w:val="00E84E35"/>
    <w:rsid w:val="00E87533"/>
    <w:rsid w:val="00E9005C"/>
    <w:rsid w:val="00E903B2"/>
    <w:rsid w:val="00E9278D"/>
    <w:rsid w:val="00E92B70"/>
    <w:rsid w:val="00E93AAA"/>
    <w:rsid w:val="00E93B45"/>
    <w:rsid w:val="00E954BB"/>
    <w:rsid w:val="00EA00D4"/>
    <w:rsid w:val="00EA1343"/>
    <w:rsid w:val="00EA55C6"/>
    <w:rsid w:val="00EA59A6"/>
    <w:rsid w:val="00EA6BE2"/>
    <w:rsid w:val="00EA6D0E"/>
    <w:rsid w:val="00EA6E5A"/>
    <w:rsid w:val="00EA7434"/>
    <w:rsid w:val="00EA7DB3"/>
    <w:rsid w:val="00EB1CCE"/>
    <w:rsid w:val="00EB37AD"/>
    <w:rsid w:val="00EB5458"/>
    <w:rsid w:val="00EB6076"/>
    <w:rsid w:val="00EC028E"/>
    <w:rsid w:val="00EC0A3A"/>
    <w:rsid w:val="00EC1EA8"/>
    <w:rsid w:val="00EC537D"/>
    <w:rsid w:val="00EC657C"/>
    <w:rsid w:val="00EC71AB"/>
    <w:rsid w:val="00EC79F3"/>
    <w:rsid w:val="00ED018F"/>
    <w:rsid w:val="00ED025D"/>
    <w:rsid w:val="00ED1DA7"/>
    <w:rsid w:val="00EE26B2"/>
    <w:rsid w:val="00EE4B2D"/>
    <w:rsid w:val="00EE6ED0"/>
    <w:rsid w:val="00EE730E"/>
    <w:rsid w:val="00EF6182"/>
    <w:rsid w:val="00EF7290"/>
    <w:rsid w:val="00EF78D6"/>
    <w:rsid w:val="00EF7E86"/>
    <w:rsid w:val="00F0099E"/>
    <w:rsid w:val="00F00B86"/>
    <w:rsid w:val="00F02642"/>
    <w:rsid w:val="00F02983"/>
    <w:rsid w:val="00F02A42"/>
    <w:rsid w:val="00F03028"/>
    <w:rsid w:val="00F033E4"/>
    <w:rsid w:val="00F04A39"/>
    <w:rsid w:val="00F07494"/>
    <w:rsid w:val="00F07EFE"/>
    <w:rsid w:val="00F07F41"/>
    <w:rsid w:val="00F1035C"/>
    <w:rsid w:val="00F13945"/>
    <w:rsid w:val="00F16BBE"/>
    <w:rsid w:val="00F16C21"/>
    <w:rsid w:val="00F17E83"/>
    <w:rsid w:val="00F20AFF"/>
    <w:rsid w:val="00F21D1A"/>
    <w:rsid w:val="00F2308A"/>
    <w:rsid w:val="00F231F0"/>
    <w:rsid w:val="00F24B38"/>
    <w:rsid w:val="00F2515D"/>
    <w:rsid w:val="00F25563"/>
    <w:rsid w:val="00F30879"/>
    <w:rsid w:val="00F30C01"/>
    <w:rsid w:val="00F31D22"/>
    <w:rsid w:val="00F32C36"/>
    <w:rsid w:val="00F332B5"/>
    <w:rsid w:val="00F3356A"/>
    <w:rsid w:val="00F335EB"/>
    <w:rsid w:val="00F33D86"/>
    <w:rsid w:val="00F3473C"/>
    <w:rsid w:val="00F35939"/>
    <w:rsid w:val="00F36A4F"/>
    <w:rsid w:val="00F37FB8"/>
    <w:rsid w:val="00F37FBB"/>
    <w:rsid w:val="00F427B7"/>
    <w:rsid w:val="00F45728"/>
    <w:rsid w:val="00F45BE6"/>
    <w:rsid w:val="00F45C69"/>
    <w:rsid w:val="00F470D1"/>
    <w:rsid w:val="00F47731"/>
    <w:rsid w:val="00F47EE0"/>
    <w:rsid w:val="00F505A4"/>
    <w:rsid w:val="00F50817"/>
    <w:rsid w:val="00F5089F"/>
    <w:rsid w:val="00F5141D"/>
    <w:rsid w:val="00F51A80"/>
    <w:rsid w:val="00F52C04"/>
    <w:rsid w:val="00F5463E"/>
    <w:rsid w:val="00F56D5A"/>
    <w:rsid w:val="00F56DA5"/>
    <w:rsid w:val="00F605D4"/>
    <w:rsid w:val="00F6180F"/>
    <w:rsid w:val="00F61BFA"/>
    <w:rsid w:val="00F62D4B"/>
    <w:rsid w:val="00F631E8"/>
    <w:rsid w:val="00F63395"/>
    <w:rsid w:val="00F6382C"/>
    <w:rsid w:val="00F63FD6"/>
    <w:rsid w:val="00F65091"/>
    <w:rsid w:val="00F667EE"/>
    <w:rsid w:val="00F66EE4"/>
    <w:rsid w:val="00F70949"/>
    <w:rsid w:val="00F711A5"/>
    <w:rsid w:val="00F73005"/>
    <w:rsid w:val="00F74CE8"/>
    <w:rsid w:val="00F76723"/>
    <w:rsid w:val="00F76CA3"/>
    <w:rsid w:val="00F803B9"/>
    <w:rsid w:val="00F815E2"/>
    <w:rsid w:val="00F8417C"/>
    <w:rsid w:val="00F86F50"/>
    <w:rsid w:val="00F86FE4"/>
    <w:rsid w:val="00F906E6"/>
    <w:rsid w:val="00F920C8"/>
    <w:rsid w:val="00F93E00"/>
    <w:rsid w:val="00F94B44"/>
    <w:rsid w:val="00F95CFA"/>
    <w:rsid w:val="00F97DD2"/>
    <w:rsid w:val="00F97FE2"/>
    <w:rsid w:val="00FA0428"/>
    <w:rsid w:val="00FA119D"/>
    <w:rsid w:val="00FA1225"/>
    <w:rsid w:val="00FA20F3"/>
    <w:rsid w:val="00FA45C5"/>
    <w:rsid w:val="00FB1389"/>
    <w:rsid w:val="00FB22D2"/>
    <w:rsid w:val="00FB3ADC"/>
    <w:rsid w:val="00FB3B49"/>
    <w:rsid w:val="00FC0001"/>
    <w:rsid w:val="00FC0CA3"/>
    <w:rsid w:val="00FC19A6"/>
    <w:rsid w:val="00FC2C7C"/>
    <w:rsid w:val="00FC51F7"/>
    <w:rsid w:val="00FC5DF1"/>
    <w:rsid w:val="00FC6498"/>
    <w:rsid w:val="00FC6D3D"/>
    <w:rsid w:val="00FC7E47"/>
    <w:rsid w:val="00FD0B7E"/>
    <w:rsid w:val="00FD13B7"/>
    <w:rsid w:val="00FD2826"/>
    <w:rsid w:val="00FD2CA4"/>
    <w:rsid w:val="00FD363B"/>
    <w:rsid w:val="00FD5CB0"/>
    <w:rsid w:val="00FD7299"/>
    <w:rsid w:val="00FE0527"/>
    <w:rsid w:val="00FE08A9"/>
    <w:rsid w:val="00FE17FD"/>
    <w:rsid w:val="00FE1B89"/>
    <w:rsid w:val="00FE200E"/>
    <w:rsid w:val="00FE20B4"/>
    <w:rsid w:val="00FE2970"/>
    <w:rsid w:val="00FE2EBF"/>
    <w:rsid w:val="00FE3074"/>
    <w:rsid w:val="00FE3B98"/>
    <w:rsid w:val="00FE4E2A"/>
    <w:rsid w:val="00FE624B"/>
    <w:rsid w:val="00FE7547"/>
    <w:rsid w:val="00FF0DE3"/>
    <w:rsid w:val="00FF12D3"/>
    <w:rsid w:val="00FF15CF"/>
    <w:rsid w:val="00FF1DFA"/>
    <w:rsid w:val="00FF1F0F"/>
    <w:rsid w:val="00FF53E4"/>
    <w:rsid w:val="00FF64C0"/>
    <w:rsid w:val="016C0C34"/>
    <w:rsid w:val="01FF18DB"/>
    <w:rsid w:val="02584874"/>
    <w:rsid w:val="039D12DE"/>
    <w:rsid w:val="040C6217"/>
    <w:rsid w:val="062405DE"/>
    <w:rsid w:val="062C220E"/>
    <w:rsid w:val="0851215E"/>
    <w:rsid w:val="08671D39"/>
    <w:rsid w:val="088E324C"/>
    <w:rsid w:val="08CE3AF3"/>
    <w:rsid w:val="09901B06"/>
    <w:rsid w:val="0A0C2B84"/>
    <w:rsid w:val="0A0F4046"/>
    <w:rsid w:val="0AED3407"/>
    <w:rsid w:val="0BFF78AF"/>
    <w:rsid w:val="0C4543AA"/>
    <w:rsid w:val="0CC2233C"/>
    <w:rsid w:val="0D794152"/>
    <w:rsid w:val="0EF26315"/>
    <w:rsid w:val="10850206"/>
    <w:rsid w:val="10C16928"/>
    <w:rsid w:val="114C3F7A"/>
    <w:rsid w:val="147C5579"/>
    <w:rsid w:val="148C642B"/>
    <w:rsid w:val="153C0A5B"/>
    <w:rsid w:val="16341BD6"/>
    <w:rsid w:val="166A1126"/>
    <w:rsid w:val="17D650F6"/>
    <w:rsid w:val="181907A1"/>
    <w:rsid w:val="183C7241"/>
    <w:rsid w:val="195C27A8"/>
    <w:rsid w:val="1A496A90"/>
    <w:rsid w:val="1A637EA7"/>
    <w:rsid w:val="1B2708F4"/>
    <w:rsid w:val="1BEF00CD"/>
    <w:rsid w:val="1CFD044E"/>
    <w:rsid w:val="1D0514A1"/>
    <w:rsid w:val="1D1A573F"/>
    <w:rsid w:val="1D6B14F3"/>
    <w:rsid w:val="1D953D67"/>
    <w:rsid w:val="1DC92FD9"/>
    <w:rsid w:val="1E4C46C0"/>
    <w:rsid w:val="1F1A3BB1"/>
    <w:rsid w:val="2005359D"/>
    <w:rsid w:val="226C5E0B"/>
    <w:rsid w:val="246D64DB"/>
    <w:rsid w:val="24730168"/>
    <w:rsid w:val="24FD72B5"/>
    <w:rsid w:val="258E0141"/>
    <w:rsid w:val="25C90A05"/>
    <w:rsid w:val="25D46845"/>
    <w:rsid w:val="26D74679"/>
    <w:rsid w:val="287D2851"/>
    <w:rsid w:val="299974AB"/>
    <w:rsid w:val="2B2E7367"/>
    <w:rsid w:val="2BF375B4"/>
    <w:rsid w:val="2BFC5DAB"/>
    <w:rsid w:val="2CC34BDF"/>
    <w:rsid w:val="2E90120D"/>
    <w:rsid w:val="30633151"/>
    <w:rsid w:val="30D4625A"/>
    <w:rsid w:val="319C6E80"/>
    <w:rsid w:val="321D54D6"/>
    <w:rsid w:val="33000634"/>
    <w:rsid w:val="33682631"/>
    <w:rsid w:val="347C368D"/>
    <w:rsid w:val="350D2EE9"/>
    <w:rsid w:val="354A5E8E"/>
    <w:rsid w:val="365B0453"/>
    <w:rsid w:val="367949A8"/>
    <w:rsid w:val="3707347F"/>
    <w:rsid w:val="378933A3"/>
    <w:rsid w:val="3838096B"/>
    <w:rsid w:val="38D5328D"/>
    <w:rsid w:val="3A1A35E6"/>
    <w:rsid w:val="3A392EF7"/>
    <w:rsid w:val="3A511D3A"/>
    <w:rsid w:val="3B2941F1"/>
    <w:rsid w:val="3B4F7C30"/>
    <w:rsid w:val="3CEA43AE"/>
    <w:rsid w:val="3D12195B"/>
    <w:rsid w:val="3D4E55D6"/>
    <w:rsid w:val="3D9D7BB9"/>
    <w:rsid w:val="3E560F9A"/>
    <w:rsid w:val="3ECF5F51"/>
    <w:rsid w:val="3F100B47"/>
    <w:rsid w:val="3F583AC7"/>
    <w:rsid w:val="4087491C"/>
    <w:rsid w:val="418067AB"/>
    <w:rsid w:val="428B1F10"/>
    <w:rsid w:val="42A031F2"/>
    <w:rsid w:val="42CC4A19"/>
    <w:rsid w:val="43372579"/>
    <w:rsid w:val="43B2466B"/>
    <w:rsid w:val="43BF6074"/>
    <w:rsid w:val="44C23D81"/>
    <w:rsid w:val="458850E1"/>
    <w:rsid w:val="45B8515D"/>
    <w:rsid w:val="463C028B"/>
    <w:rsid w:val="46AC3F3D"/>
    <w:rsid w:val="46CB27C7"/>
    <w:rsid w:val="46E80CD5"/>
    <w:rsid w:val="47A145F9"/>
    <w:rsid w:val="47F50E23"/>
    <w:rsid w:val="48837812"/>
    <w:rsid w:val="49402DDC"/>
    <w:rsid w:val="49AD7142"/>
    <w:rsid w:val="49F80CFB"/>
    <w:rsid w:val="4A0828A2"/>
    <w:rsid w:val="4AEE1345"/>
    <w:rsid w:val="4B6404B4"/>
    <w:rsid w:val="4D3C48F5"/>
    <w:rsid w:val="4DD24F71"/>
    <w:rsid w:val="4F03237A"/>
    <w:rsid w:val="50DB3A48"/>
    <w:rsid w:val="519143CB"/>
    <w:rsid w:val="52471D46"/>
    <w:rsid w:val="5324292A"/>
    <w:rsid w:val="53316AE4"/>
    <w:rsid w:val="53BE2538"/>
    <w:rsid w:val="53D50ED7"/>
    <w:rsid w:val="53E537D3"/>
    <w:rsid w:val="53F3221E"/>
    <w:rsid w:val="5476243F"/>
    <w:rsid w:val="54B517CA"/>
    <w:rsid w:val="54E912B6"/>
    <w:rsid w:val="562C7F86"/>
    <w:rsid w:val="56E05EE8"/>
    <w:rsid w:val="575B793B"/>
    <w:rsid w:val="5786121D"/>
    <w:rsid w:val="57CA1361"/>
    <w:rsid w:val="57FB2C06"/>
    <w:rsid w:val="586B7384"/>
    <w:rsid w:val="593D3416"/>
    <w:rsid w:val="5A084F4A"/>
    <w:rsid w:val="5AFF1038"/>
    <w:rsid w:val="5C6577E1"/>
    <w:rsid w:val="5D4455B9"/>
    <w:rsid w:val="5E8D30E1"/>
    <w:rsid w:val="5F0F165A"/>
    <w:rsid w:val="5F355249"/>
    <w:rsid w:val="60CE1F90"/>
    <w:rsid w:val="60E00F7D"/>
    <w:rsid w:val="6107793A"/>
    <w:rsid w:val="610A13B1"/>
    <w:rsid w:val="628B4A8D"/>
    <w:rsid w:val="62CA45C6"/>
    <w:rsid w:val="63191EF4"/>
    <w:rsid w:val="638E41E7"/>
    <w:rsid w:val="6399261E"/>
    <w:rsid w:val="63E4206F"/>
    <w:rsid w:val="654128DF"/>
    <w:rsid w:val="6573639C"/>
    <w:rsid w:val="66461350"/>
    <w:rsid w:val="667B4D97"/>
    <w:rsid w:val="67087BD2"/>
    <w:rsid w:val="67846F34"/>
    <w:rsid w:val="67CE2007"/>
    <w:rsid w:val="67DA2309"/>
    <w:rsid w:val="68846423"/>
    <w:rsid w:val="68BD7162"/>
    <w:rsid w:val="690D1CB8"/>
    <w:rsid w:val="697C17B3"/>
    <w:rsid w:val="69912715"/>
    <w:rsid w:val="6B8B6114"/>
    <w:rsid w:val="6BA47EC4"/>
    <w:rsid w:val="6BAD1CED"/>
    <w:rsid w:val="6CD6361D"/>
    <w:rsid w:val="6D495AEE"/>
    <w:rsid w:val="6D832A65"/>
    <w:rsid w:val="6E883942"/>
    <w:rsid w:val="6E9C5D0F"/>
    <w:rsid w:val="6EA5672F"/>
    <w:rsid w:val="6F214A74"/>
    <w:rsid w:val="70E71A9F"/>
    <w:rsid w:val="71B05D1F"/>
    <w:rsid w:val="723A1C43"/>
    <w:rsid w:val="72446EC8"/>
    <w:rsid w:val="746025EA"/>
    <w:rsid w:val="760402E8"/>
    <w:rsid w:val="766311A9"/>
    <w:rsid w:val="767843CC"/>
    <w:rsid w:val="77231AD0"/>
    <w:rsid w:val="77E92981"/>
    <w:rsid w:val="7829584B"/>
    <w:rsid w:val="788A33A7"/>
    <w:rsid w:val="792C183C"/>
    <w:rsid w:val="793B19FD"/>
    <w:rsid w:val="798A1EB3"/>
    <w:rsid w:val="799F21D8"/>
    <w:rsid w:val="79D03FFB"/>
    <w:rsid w:val="7B3E7732"/>
    <w:rsid w:val="7B562410"/>
    <w:rsid w:val="7B58551A"/>
    <w:rsid w:val="7C5E4CED"/>
    <w:rsid w:val="7C7B26FD"/>
    <w:rsid w:val="7CBD63EF"/>
    <w:rsid w:val="7D3620BA"/>
    <w:rsid w:val="7D3B643B"/>
    <w:rsid w:val="7D965D40"/>
    <w:rsid w:val="7DAD572C"/>
    <w:rsid w:val="7FAA7260"/>
    <w:rsid w:val="7FAB7221"/>
    <w:rsid w:val="EF7D858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customStyle="1" w:styleId="2">
    <w:name w:val="引文目录1"/>
    <w:basedOn w:val="1"/>
    <w:next w:val="1"/>
    <w:qFormat/>
    <w:uiPriority w:val="0"/>
    <w:pPr>
      <w:spacing w:before="100" w:beforeAutospacing="1" w:after="100" w:afterAutospacing="1"/>
      <w:ind w:left="420" w:leftChars="200"/>
    </w:pPr>
    <w:rPr>
      <w:rFonts w:cs="黑体"/>
      <w:szCs w:val="21"/>
    </w:rPr>
  </w:style>
  <w:style w:type="paragraph" w:styleId="3">
    <w:name w:val="Body Text Indent"/>
    <w:basedOn w:val="1"/>
    <w:link w:val="15"/>
    <w:qFormat/>
    <w:uiPriority w:val="0"/>
    <w:pPr>
      <w:spacing w:line="480" w:lineRule="exact"/>
      <w:ind w:firstLine="573"/>
    </w:pPr>
    <w:rPr>
      <w:sz w:val="28"/>
      <w:szCs w:val="20"/>
    </w:rPr>
  </w:style>
  <w:style w:type="paragraph" w:styleId="4">
    <w:name w:val="Balloon Text"/>
    <w:basedOn w:val="1"/>
    <w:link w:val="16"/>
    <w:semiHidden/>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99"/>
    <w:pPr>
      <w:widowControl/>
      <w:jc w:val="left"/>
    </w:pPr>
    <w:rPr>
      <w:rFonts w:ascii="宋体" w:hAnsi="宋体" w:cs="宋体"/>
      <w:kern w:val="0"/>
      <w:sz w:val="24"/>
    </w:rPr>
  </w:style>
  <w:style w:type="character" w:styleId="10">
    <w:name w:val="Strong"/>
    <w:basedOn w:val="9"/>
    <w:qFormat/>
    <w:uiPriority w:val="0"/>
    <w:rPr>
      <w:b/>
      <w:bCs/>
    </w:rPr>
  </w:style>
  <w:style w:type="character" w:customStyle="1" w:styleId="11">
    <w:name w:val="页眉 Char"/>
    <w:basedOn w:val="9"/>
    <w:link w:val="6"/>
    <w:qFormat/>
    <w:uiPriority w:val="0"/>
    <w:rPr>
      <w:sz w:val="18"/>
      <w:szCs w:val="18"/>
    </w:rPr>
  </w:style>
  <w:style w:type="character" w:customStyle="1" w:styleId="12">
    <w:name w:val="页脚 Char"/>
    <w:basedOn w:val="9"/>
    <w:link w:val="5"/>
    <w:qFormat/>
    <w:uiPriority w:val="99"/>
    <w:rPr>
      <w:sz w:val="18"/>
      <w:szCs w:val="18"/>
    </w:rPr>
  </w:style>
  <w:style w:type="paragraph" w:customStyle="1" w:styleId="13">
    <w:name w:val="0"/>
    <w:basedOn w:val="1"/>
    <w:qFormat/>
    <w:uiPriority w:val="0"/>
    <w:pPr>
      <w:widowControl/>
      <w:snapToGrid w:val="0"/>
    </w:pPr>
    <w:rPr>
      <w:kern w:val="0"/>
      <w:szCs w:val="21"/>
    </w:rPr>
  </w:style>
  <w:style w:type="paragraph" w:styleId="14">
    <w:name w:val="List Paragraph"/>
    <w:basedOn w:val="1"/>
    <w:qFormat/>
    <w:uiPriority w:val="34"/>
    <w:pPr>
      <w:ind w:firstLine="420" w:firstLineChars="200"/>
    </w:pPr>
  </w:style>
  <w:style w:type="character" w:customStyle="1" w:styleId="15">
    <w:name w:val="正文文本缩进 Char"/>
    <w:basedOn w:val="9"/>
    <w:link w:val="3"/>
    <w:qFormat/>
    <w:uiPriority w:val="0"/>
    <w:rPr>
      <w:rFonts w:ascii="Times New Roman" w:hAnsi="Times New Roman" w:eastAsia="宋体" w:cs="Times New Roman"/>
      <w:sz w:val="28"/>
      <w:szCs w:val="20"/>
    </w:rPr>
  </w:style>
  <w:style w:type="character" w:customStyle="1" w:styleId="16">
    <w:name w:val="批注框文本 Char"/>
    <w:basedOn w:val="9"/>
    <w:link w:val="4"/>
    <w:semiHidden/>
    <w:qFormat/>
    <w:uiPriority w:val="99"/>
    <w:rPr>
      <w:rFonts w:ascii="Times New Roman" w:hAnsi="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tyleName="APA Fifth Edition" SelectedStyle="\APA.XSL"/>
</file>

<file path=customXml/itemProps1.xml><?xml version="1.0" encoding="utf-8"?>
<ds:datastoreItem xmlns:ds="http://schemas.openxmlformats.org/officeDocument/2006/customXml" ds:itemID="{E4F40C9A-07D2-45D1-BFC9-0752555F595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14</Pages>
  <Words>7967</Words>
  <Characters>8271</Characters>
  <Lines>58</Lines>
  <Paragraphs>16</Paragraphs>
  <TotalTime>0</TotalTime>
  <ScaleCrop>false</ScaleCrop>
  <LinksUpToDate>false</LinksUpToDate>
  <CharactersWithSpaces>8275</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2020-11-06T17:16:00Z</dcterms:created>
  <dc:creator>dkq</dc:creator>
  <cp:lastModifiedBy>飘飘飘</cp:lastModifiedBy>
  <cp:lastPrinted>2020-11-06T17:15:00Z</cp:lastPrinted>
  <dcterms:modified xsi:type="dcterms:W3CDTF">2025-12-01T12:43:35Z</dcterms:modified>
  <cp:revision>131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1B5A32CFF0114364A05385D748D32AA0</vt:lpwstr>
  </property>
</Properties>
</file>