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黑体" w:hAnsi="黑体" w:eastAsia="黑体" w:cs="黑体"/>
          <w:color w:val="000000"/>
          <w:sz w:val="28"/>
          <w:szCs w:val="28"/>
          <w:lang w:val="en-US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zh-CN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/>
        </w:rPr>
        <w:t>3</w:t>
      </w:r>
    </w:p>
    <w:p>
      <w:pPr>
        <w:spacing w:beforeLines="0" w:afterLines="0"/>
        <w:jc w:val="center"/>
        <w:rPr>
          <w:rFonts w:hint="eastAsia" w:ascii="黑体" w:hAnsi="黑体" w:eastAsia="黑体" w:cs="黑体"/>
          <w:color w:val="000000"/>
          <w:sz w:val="28"/>
          <w:szCs w:val="28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zh-CN"/>
        </w:rPr>
        <w:t>烟花爆竹宣传标语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1 .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少放不放烟花爆竹，人人争做文明市民。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人人少放烟花，大气清新洁净。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烟花虽喜庆，污染更要命。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办 理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“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红白喜事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，请不要燃放烟花爆竹。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自觉禁放烟花爆竹，文明欢度新春佳节。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6 .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违规燃放烟花爆竹害人害己。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禁止燃放烟花爆竹，从源头上消除安全隐患。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中心城区已禁放，请君勿做违法人。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禁限燃放牢记心，坚决不做违法人。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违规燃放虽热闹，违法处罚后果重。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违规燃放必处罚，纳入征信影响大。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12 .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禁止在人群密集区燃放烟花爆竹。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13 .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不要让未成年人单独燃放烟花爆竹。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14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严格管理烟花爆竹，共同创建和谐社会。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15 .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坚决彻底取缔地下非法烟花爆竹作坊，严厉打击非法贩 运、运输烟花爆竹违法犯罪活动。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16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禁止销售、购买、燃放大品种规格烟花爆竹。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17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严格实名登记，规范销售管理，堵塞违规源头。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18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坚决不卖违规燃放人，做禁限政策执行者。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19 .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购买烟花爆竹请认准专用封箱签和防伪标识。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 xml:space="preserve">20 .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zh-CN"/>
        </w:rPr>
        <w:t>禁止携带烟花爆竹乘坐公共交通工具。</w:t>
      </w: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728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2023-01-05T03:52:57Z</dcterms:created>
  <dc:creator>Administrator</dc:creator>
  <cp:lastModifiedBy>Administrator</cp:lastModifiedBy>
  <cp:lastPrinted>2023-01-05T03:56:57Z</cp:lastPrinted>
  <dcterms:modified xsi:type="dcterms:W3CDTF">2023-01-05T03:57:04Z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E13C9F72E9D54C1CBD4DF3667067F869</vt:lpwstr>
  </property>
</Properties>
</file>