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2F1" w:rsidRDefault="006C02F1">
      <w:pPr>
        <w:spacing w:line="560" w:lineRule="exact"/>
        <w:rPr>
          <w:rFonts w:ascii="黑体" w:eastAsia="黑体" w:hAnsi="宋体" w:cs="黑体" w:hint="eastAsia"/>
          <w:sz w:val="31"/>
          <w:szCs w:val="31"/>
          <w:shd w:val="clear" w:color="auto" w:fill="FFFFFF"/>
        </w:rPr>
      </w:pPr>
    </w:p>
    <w:p w:rsidR="006C02F1" w:rsidRDefault="00EC68B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2021</w:t>
      </w:r>
      <w:r>
        <w:rPr>
          <w:rFonts w:ascii="方正小标宋简体" w:eastAsia="方正小标宋简体" w:hAnsi="方正小标宋简体" w:cs="方正小标宋简体" w:hint="eastAsia"/>
          <w:sz w:val="44"/>
          <w:szCs w:val="44"/>
        </w:rPr>
        <w:t>年慈溪市观海卫镇人民政府</w:t>
      </w:r>
    </w:p>
    <w:p w:rsidR="006C02F1" w:rsidRDefault="00EC68B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信息公开工作年度报告</w:t>
      </w:r>
    </w:p>
    <w:p w:rsidR="006C02F1" w:rsidRDefault="006C02F1" w:rsidP="00D43EA1">
      <w:pPr>
        <w:spacing w:line="560" w:lineRule="exact"/>
        <w:ind w:firstLineChars="200" w:firstLine="620"/>
        <w:rPr>
          <w:rFonts w:ascii="仿宋_GB2312" w:eastAsia="仿宋_GB2312" w:hAnsi="仿宋_GB2312" w:cs="仿宋_GB2312"/>
          <w:sz w:val="32"/>
          <w:szCs w:val="32"/>
        </w:rPr>
      </w:pPr>
    </w:p>
    <w:p w:rsidR="006C02F1" w:rsidRDefault="00EC68B9" w:rsidP="00D43EA1">
      <w:pPr>
        <w:spacing w:line="560" w:lineRule="exact"/>
        <w:ind w:firstLineChars="200" w:firstLine="623"/>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一、总体情况</w:t>
      </w:r>
    </w:p>
    <w:p w:rsidR="006C02F1" w:rsidRDefault="00EC68B9">
      <w:pPr>
        <w:spacing w:line="620" w:lineRule="exact"/>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慈溪市观海卫镇人民政府在慈溪市委市政府的正确领导下，坚持以习近平新时代中国特色社会主义思想为指导，深入贯彻落实《中华人民共和国政府信息公开条例》，推行依法行政、优质行政、廉洁行政，进一步巩固政务公开成果，规范政务公开内容，创新政务公开形式，提高政务公开水平，有效促进各项工作顺利推进。</w:t>
      </w:r>
    </w:p>
    <w:p w:rsidR="006C02F1" w:rsidRDefault="00EC68B9" w:rsidP="00D43EA1">
      <w:pPr>
        <w:spacing w:line="620" w:lineRule="exact"/>
        <w:ind w:firstLineChars="200" w:firstLine="6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（一）主动公开情况。镇政府始终坚持决策、执行、管理、服务、结果“五公开”，严格遵循公正、公平、便民的原则，通过政府网站、政务微信、</w:t>
      </w:r>
      <w:proofErr w:type="gramStart"/>
      <w:r>
        <w:rPr>
          <w:rFonts w:ascii="仿宋_GB2312" w:eastAsia="仿宋_GB2312" w:hAnsi="仿宋_GB2312" w:cs="仿宋_GB2312" w:hint="eastAsia"/>
          <w:sz w:val="32"/>
          <w:szCs w:val="32"/>
        </w:rPr>
        <w:t>政务微博等</w:t>
      </w:r>
      <w:proofErr w:type="gramEnd"/>
      <w:r>
        <w:rPr>
          <w:rFonts w:ascii="仿宋_GB2312" w:eastAsia="仿宋_GB2312" w:hAnsi="仿宋_GB2312" w:cs="仿宋_GB2312" w:hint="eastAsia"/>
          <w:sz w:val="32"/>
          <w:szCs w:val="32"/>
        </w:rPr>
        <w:t>渠道和平台，及时、准确地公开政府信息，保障群众知情权。</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年，镇政府主动公开政府信息</w:t>
      </w:r>
      <w:r>
        <w:rPr>
          <w:rFonts w:ascii="仿宋_GB2312" w:eastAsia="仿宋_GB2312" w:hAnsi="仿宋_GB2312" w:cs="仿宋_GB2312" w:hint="eastAsia"/>
          <w:sz w:val="32"/>
          <w:szCs w:val="32"/>
        </w:rPr>
        <w:t>1423</w:t>
      </w:r>
      <w:r>
        <w:rPr>
          <w:rFonts w:ascii="仿宋_GB2312" w:eastAsia="仿宋_GB2312" w:hAnsi="仿宋_GB2312" w:cs="仿宋_GB2312" w:hint="eastAsia"/>
          <w:sz w:val="32"/>
          <w:szCs w:val="32"/>
        </w:rPr>
        <w:t>条。</w:t>
      </w:r>
    </w:p>
    <w:p w:rsidR="006C02F1" w:rsidRDefault="00EC68B9">
      <w:pPr>
        <w:spacing w:line="620" w:lineRule="exact"/>
        <w:ind w:firstLine="6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（二）依申请公开情况。镇政府严格落实政府信息公开申请接收、登记、办理、审核、答复、归档等工作制度，畅通网络、书面、直接申请等渠道，充分保证公民、法人或者其他组织获取所需要的政府信息。</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年，镇政府共收到信息公开申请</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条，上年度结转</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件，均已办结。</w:t>
      </w:r>
    </w:p>
    <w:p w:rsidR="006C02F1" w:rsidRDefault="00EC68B9">
      <w:pPr>
        <w:spacing w:line="620" w:lineRule="exact"/>
        <w:ind w:firstLine="6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（三）政府信息管</w:t>
      </w:r>
      <w:r>
        <w:rPr>
          <w:rFonts w:ascii="仿宋_GB2312" w:eastAsia="仿宋_GB2312" w:hAnsi="仿宋_GB2312" w:cs="仿宋_GB2312" w:hint="eastAsia"/>
          <w:sz w:val="32"/>
          <w:szCs w:val="32"/>
        </w:rPr>
        <w:t>理情况。按照“公开为原则，不公开为例外”的总体要求，按时发布政府信息。并根据全镇实际情况，及时有效发布重点信息，不断深化和丰富信息公开内容，调整公开形式，提高群众知晓率。加强对政务信息的监管审核，健全政府信息公开保密审查机制，做好信息公开前审查工作。</w:t>
      </w:r>
    </w:p>
    <w:p w:rsidR="006C02F1" w:rsidRDefault="00EC68B9">
      <w:pPr>
        <w:spacing w:line="620" w:lineRule="exact"/>
        <w:ind w:firstLine="6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四）政府信息公开平台建设情况。积极配合上级部门做好政务公开平台维护，根据实际情况对各公开栏目进行调整，维护信息公开渠道，确保信息发布的规范性及时效性，以准确及时地反映单位各项工作动态。通过政务新媒体管理系统对政务微信、</w:t>
      </w:r>
      <w:proofErr w:type="gramStart"/>
      <w:r>
        <w:rPr>
          <w:rFonts w:ascii="仿宋_GB2312" w:eastAsia="仿宋_GB2312" w:hAnsi="仿宋_GB2312" w:cs="仿宋_GB2312" w:hint="eastAsia"/>
          <w:sz w:val="32"/>
          <w:szCs w:val="32"/>
        </w:rPr>
        <w:t>政务微博规范化</w:t>
      </w:r>
      <w:proofErr w:type="gramEnd"/>
      <w:r>
        <w:rPr>
          <w:rFonts w:ascii="仿宋_GB2312" w:eastAsia="仿宋_GB2312" w:hAnsi="仿宋_GB2312" w:cs="仿宋_GB2312" w:hint="eastAsia"/>
          <w:sz w:val="32"/>
          <w:szCs w:val="32"/>
        </w:rPr>
        <w:t>管理。</w:t>
      </w:r>
    </w:p>
    <w:p w:rsidR="006C02F1" w:rsidRDefault="00EC68B9">
      <w:pPr>
        <w:spacing w:line="620" w:lineRule="exact"/>
        <w:ind w:firstLine="6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（五）监督保障情况</w:t>
      </w:r>
      <w:r>
        <w:rPr>
          <w:rFonts w:ascii="仿宋_GB2312" w:eastAsia="仿宋_GB2312" w:hAnsi="仿宋_GB2312" w:cs="仿宋_GB2312" w:hint="eastAsia"/>
          <w:sz w:val="32"/>
          <w:szCs w:val="32"/>
        </w:rPr>
        <w:t>。加强对政务公开工作的组织领导，落实主要领导负总责、分管领导具体抓、各有关部门配合的工作机制。强化监督检查工作，鼓励广大干部、群众积极参与监督，积极反映公开过程中存在的突出问题。积极参加全市统一的政务公开社会评议并定期按规定发布责任追究情况，使公开工作更加扎实、有序。</w:t>
      </w:r>
    </w:p>
    <w:p w:rsidR="006C02F1" w:rsidRDefault="00EC68B9" w:rsidP="00D43EA1">
      <w:pPr>
        <w:spacing w:line="560" w:lineRule="exact"/>
        <w:ind w:firstLineChars="200" w:firstLine="623"/>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二、主动公开政府信息情况</w:t>
      </w:r>
    </w:p>
    <w:tbl>
      <w:tblPr>
        <w:tblW w:w="8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0"/>
        <w:gridCol w:w="2588"/>
        <w:gridCol w:w="2252"/>
        <w:gridCol w:w="1980"/>
      </w:tblGrid>
      <w:tr w:rsidR="006C02F1">
        <w:trPr>
          <w:trHeight w:val="465"/>
          <w:jc w:val="center"/>
        </w:trPr>
        <w:tc>
          <w:tcPr>
            <w:tcW w:w="8880" w:type="dxa"/>
            <w:gridSpan w:val="4"/>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第二十条第（一）项</w:t>
            </w:r>
          </w:p>
        </w:tc>
      </w:tr>
      <w:tr w:rsidR="006C02F1">
        <w:trPr>
          <w:trHeight w:val="647"/>
          <w:jc w:val="center"/>
        </w:trPr>
        <w:tc>
          <w:tcPr>
            <w:tcW w:w="2060"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信息内容</w:t>
            </w:r>
          </w:p>
        </w:tc>
        <w:tc>
          <w:tcPr>
            <w:tcW w:w="2588"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本年制发件数</w:t>
            </w:r>
          </w:p>
        </w:tc>
        <w:tc>
          <w:tcPr>
            <w:tcW w:w="2252"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本年废止件数</w:t>
            </w:r>
          </w:p>
        </w:tc>
        <w:tc>
          <w:tcPr>
            <w:tcW w:w="1980"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现行有效件数</w:t>
            </w:r>
          </w:p>
        </w:tc>
      </w:tr>
      <w:tr w:rsidR="006C02F1">
        <w:trPr>
          <w:trHeight w:val="647"/>
          <w:jc w:val="center"/>
        </w:trPr>
        <w:tc>
          <w:tcPr>
            <w:tcW w:w="20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仿宋_GB2312" w:hint="eastAsia"/>
                <w:sz w:val="24"/>
                <w:szCs w:val="24"/>
              </w:rPr>
              <w:t>规章</w:t>
            </w:r>
          </w:p>
        </w:tc>
        <w:tc>
          <w:tcPr>
            <w:tcW w:w="2588"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225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198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647"/>
          <w:jc w:val="center"/>
        </w:trPr>
        <w:tc>
          <w:tcPr>
            <w:tcW w:w="20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仿宋_GB2312" w:hint="eastAsia"/>
                <w:sz w:val="24"/>
                <w:szCs w:val="24"/>
              </w:rPr>
              <w:lastRenderedPageBreak/>
              <w:t>行政规范性文件</w:t>
            </w:r>
          </w:p>
        </w:tc>
        <w:tc>
          <w:tcPr>
            <w:tcW w:w="2588"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2</w:t>
            </w:r>
          </w:p>
        </w:tc>
        <w:tc>
          <w:tcPr>
            <w:tcW w:w="225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14</w:t>
            </w:r>
          </w:p>
        </w:tc>
        <w:tc>
          <w:tcPr>
            <w:tcW w:w="198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6</w:t>
            </w:r>
          </w:p>
        </w:tc>
      </w:tr>
      <w:tr w:rsidR="006C02F1">
        <w:trPr>
          <w:trHeight w:val="465"/>
          <w:jc w:val="center"/>
        </w:trPr>
        <w:tc>
          <w:tcPr>
            <w:tcW w:w="8880" w:type="dxa"/>
            <w:gridSpan w:val="4"/>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第二十条第（五）项</w:t>
            </w:r>
          </w:p>
        </w:tc>
      </w:tr>
      <w:tr w:rsidR="006C02F1">
        <w:trPr>
          <w:trHeight w:val="647"/>
          <w:jc w:val="center"/>
        </w:trPr>
        <w:tc>
          <w:tcPr>
            <w:tcW w:w="2060"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信息内容</w:t>
            </w:r>
          </w:p>
        </w:tc>
        <w:tc>
          <w:tcPr>
            <w:tcW w:w="6820" w:type="dxa"/>
            <w:gridSpan w:val="3"/>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本年处理决定数量</w:t>
            </w:r>
          </w:p>
        </w:tc>
      </w:tr>
      <w:tr w:rsidR="006C02F1">
        <w:trPr>
          <w:trHeight w:val="647"/>
          <w:jc w:val="center"/>
        </w:trPr>
        <w:tc>
          <w:tcPr>
            <w:tcW w:w="20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仿宋_GB2312" w:hint="eastAsia"/>
                <w:sz w:val="24"/>
                <w:szCs w:val="24"/>
              </w:rPr>
              <w:t>行政许可</w:t>
            </w:r>
          </w:p>
        </w:tc>
        <w:tc>
          <w:tcPr>
            <w:tcW w:w="6820" w:type="dxa"/>
            <w:gridSpan w:val="3"/>
            <w:vAlign w:val="center"/>
          </w:tcPr>
          <w:p w:rsidR="006C02F1" w:rsidRDefault="00EC68B9">
            <w:pPr>
              <w:spacing w:line="400" w:lineRule="exact"/>
              <w:jc w:val="center"/>
              <w:rPr>
                <w:rFonts w:ascii="仿宋_GB2312" w:eastAsia="仿宋_GB2312" w:hAnsi="仿宋_GB2312" w:cs="Times New Roman"/>
                <w:sz w:val="24"/>
                <w:szCs w:val="24"/>
                <w:highlight w:val="yellow"/>
              </w:rPr>
            </w:pPr>
            <w:r>
              <w:rPr>
                <w:rFonts w:ascii="仿宋_GB2312" w:eastAsia="仿宋_GB2312" w:hAnsi="仿宋_GB2312" w:cs="Times New Roman" w:hint="eastAsia"/>
                <w:sz w:val="24"/>
                <w:szCs w:val="24"/>
              </w:rPr>
              <w:t>0</w:t>
            </w:r>
          </w:p>
        </w:tc>
      </w:tr>
      <w:tr w:rsidR="006C02F1">
        <w:trPr>
          <w:trHeight w:val="465"/>
          <w:jc w:val="center"/>
        </w:trPr>
        <w:tc>
          <w:tcPr>
            <w:tcW w:w="8880" w:type="dxa"/>
            <w:gridSpan w:val="4"/>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第二十条第（六）项</w:t>
            </w:r>
          </w:p>
        </w:tc>
      </w:tr>
      <w:tr w:rsidR="006C02F1">
        <w:trPr>
          <w:trHeight w:val="647"/>
          <w:jc w:val="center"/>
        </w:trPr>
        <w:tc>
          <w:tcPr>
            <w:tcW w:w="2060"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信息内容</w:t>
            </w:r>
          </w:p>
        </w:tc>
        <w:tc>
          <w:tcPr>
            <w:tcW w:w="6820" w:type="dxa"/>
            <w:gridSpan w:val="3"/>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本年处理决定数量</w:t>
            </w:r>
          </w:p>
        </w:tc>
      </w:tr>
      <w:tr w:rsidR="006C02F1">
        <w:trPr>
          <w:trHeight w:val="647"/>
          <w:jc w:val="center"/>
        </w:trPr>
        <w:tc>
          <w:tcPr>
            <w:tcW w:w="20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仿宋_GB2312" w:hint="eastAsia"/>
                <w:sz w:val="24"/>
                <w:szCs w:val="24"/>
              </w:rPr>
              <w:t>行政处罚</w:t>
            </w:r>
          </w:p>
        </w:tc>
        <w:tc>
          <w:tcPr>
            <w:tcW w:w="6820" w:type="dxa"/>
            <w:gridSpan w:val="3"/>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647"/>
          <w:jc w:val="center"/>
        </w:trPr>
        <w:tc>
          <w:tcPr>
            <w:tcW w:w="20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仿宋_GB2312" w:hint="eastAsia"/>
                <w:sz w:val="24"/>
                <w:szCs w:val="24"/>
              </w:rPr>
              <w:t>行政强制</w:t>
            </w:r>
          </w:p>
        </w:tc>
        <w:tc>
          <w:tcPr>
            <w:tcW w:w="6820" w:type="dxa"/>
            <w:gridSpan w:val="3"/>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65"/>
          <w:jc w:val="center"/>
        </w:trPr>
        <w:tc>
          <w:tcPr>
            <w:tcW w:w="8880" w:type="dxa"/>
            <w:gridSpan w:val="4"/>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第二十条第（八）项</w:t>
            </w:r>
          </w:p>
        </w:tc>
      </w:tr>
      <w:tr w:rsidR="006C02F1">
        <w:trPr>
          <w:trHeight w:val="647"/>
          <w:jc w:val="center"/>
        </w:trPr>
        <w:tc>
          <w:tcPr>
            <w:tcW w:w="2060"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信息内容</w:t>
            </w:r>
          </w:p>
        </w:tc>
        <w:tc>
          <w:tcPr>
            <w:tcW w:w="6820" w:type="dxa"/>
            <w:gridSpan w:val="3"/>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本年收费金额（单位：万元）</w:t>
            </w:r>
          </w:p>
        </w:tc>
      </w:tr>
      <w:tr w:rsidR="006C02F1">
        <w:trPr>
          <w:trHeight w:val="657"/>
          <w:jc w:val="center"/>
        </w:trPr>
        <w:tc>
          <w:tcPr>
            <w:tcW w:w="20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仿宋_GB2312" w:hint="eastAsia"/>
                <w:sz w:val="24"/>
                <w:szCs w:val="24"/>
              </w:rPr>
              <w:t>行政事业性收费</w:t>
            </w:r>
          </w:p>
        </w:tc>
        <w:tc>
          <w:tcPr>
            <w:tcW w:w="6820" w:type="dxa"/>
            <w:gridSpan w:val="3"/>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1562.75</w:t>
            </w:r>
          </w:p>
        </w:tc>
      </w:tr>
    </w:tbl>
    <w:p w:rsidR="006C02F1" w:rsidRDefault="00EC68B9" w:rsidP="00D43EA1">
      <w:pPr>
        <w:spacing w:line="560" w:lineRule="exact"/>
        <w:ind w:firstLineChars="200" w:firstLine="623"/>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三、收到和处理政府信息公开申请情况</w:t>
      </w:r>
    </w:p>
    <w:tbl>
      <w:tblPr>
        <w:tblW w:w="89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9"/>
        <w:gridCol w:w="1080"/>
        <w:gridCol w:w="2028"/>
        <w:gridCol w:w="696"/>
        <w:gridCol w:w="772"/>
        <w:gridCol w:w="705"/>
        <w:gridCol w:w="925"/>
        <w:gridCol w:w="735"/>
        <w:gridCol w:w="460"/>
        <w:gridCol w:w="519"/>
      </w:tblGrid>
      <w:tr w:rsidR="006C02F1">
        <w:trPr>
          <w:jc w:val="center"/>
        </w:trPr>
        <w:tc>
          <w:tcPr>
            <w:tcW w:w="4107" w:type="dxa"/>
            <w:gridSpan w:val="3"/>
            <w:vMerge w:val="restart"/>
            <w:vAlign w:val="center"/>
          </w:tcPr>
          <w:p w:rsidR="006C02F1" w:rsidRDefault="00EC68B9">
            <w:pPr>
              <w:spacing w:line="400" w:lineRule="exact"/>
              <w:rPr>
                <w:rFonts w:ascii="宋体" w:eastAsia="宋体" w:cs="Times New Roman"/>
                <w:sz w:val="18"/>
                <w:szCs w:val="18"/>
              </w:rPr>
            </w:pPr>
            <w:r>
              <w:rPr>
                <w:rFonts w:ascii="仿宋_GB2312" w:eastAsia="仿宋_GB2312" w:hAnsi="仿宋_GB2312" w:cs="仿宋_GB2312" w:hint="eastAsia"/>
                <w:sz w:val="24"/>
                <w:szCs w:val="24"/>
              </w:rPr>
              <w:t>（本列数据的勾</w:t>
            </w:r>
            <w:proofErr w:type="gramStart"/>
            <w:r>
              <w:rPr>
                <w:rFonts w:ascii="仿宋_GB2312" w:eastAsia="仿宋_GB2312" w:hAnsi="仿宋_GB2312" w:cs="仿宋_GB2312" w:hint="eastAsia"/>
                <w:sz w:val="24"/>
                <w:szCs w:val="24"/>
              </w:rPr>
              <w:t>稽</w:t>
            </w:r>
            <w:proofErr w:type="gramEnd"/>
            <w:r>
              <w:rPr>
                <w:rFonts w:ascii="仿宋_GB2312" w:eastAsia="仿宋_GB2312" w:hAnsi="仿宋_GB2312" w:cs="仿宋_GB2312" w:hint="eastAsia"/>
                <w:sz w:val="24"/>
                <w:szCs w:val="24"/>
              </w:rPr>
              <w:t>关系为：第一项加第二项之和，等于第三项加第四项之和）</w:t>
            </w:r>
          </w:p>
        </w:tc>
        <w:tc>
          <w:tcPr>
            <w:tcW w:w="4812" w:type="dxa"/>
            <w:gridSpan w:val="7"/>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申请人情况</w:t>
            </w:r>
          </w:p>
        </w:tc>
      </w:tr>
      <w:tr w:rsidR="006C02F1">
        <w:trPr>
          <w:jc w:val="center"/>
        </w:trPr>
        <w:tc>
          <w:tcPr>
            <w:tcW w:w="4107" w:type="dxa"/>
            <w:gridSpan w:val="3"/>
            <w:vMerge/>
            <w:vAlign w:val="center"/>
          </w:tcPr>
          <w:p w:rsidR="006C02F1" w:rsidRDefault="006C02F1">
            <w:pPr>
              <w:spacing w:line="400" w:lineRule="exact"/>
              <w:rPr>
                <w:rFonts w:ascii="宋体" w:eastAsia="宋体" w:cs="Times New Roman"/>
                <w:sz w:val="18"/>
                <w:szCs w:val="18"/>
              </w:rPr>
            </w:pPr>
          </w:p>
        </w:tc>
        <w:tc>
          <w:tcPr>
            <w:tcW w:w="696" w:type="dxa"/>
            <w:vMerge w:val="restart"/>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自然人</w:t>
            </w:r>
          </w:p>
        </w:tc>
        <w:tc>
          <w:tcPr>
            <w:tcW w:w="3597" w:type="dxa"/>
            <w:gridSpan w:val="5"/>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法人或其他组织</w:t>
            </w:r>
          </w:p>
        </w:tc>
        <w:tc>
          <w:tcPr>
            <w:tcW w:w="519" w:type="dxa"/>
            <w:vMerge w:val="restart"/>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总计</w:t>
            </w:r>
          </w:p>
        </w:tc>
      </w:tr>
      <w:tr w:rsidR="006C02F1">
        <w:trPr>
          <w:trHeight w:val="1305"/>
          <w:jc w:val="center"/>
        </w:trPr>
        <w:tc>
          <w:tcPr>
            <w:tcW w:w="4107" w:type="dxa"/>
            <w:gridSpan w:val="3"/>
            <w:vMerge/>
            <w:vAlign w:val="center"/>
          </w:tcPr>
          <w:p w:rsidR="006C02F1" w:rsidRDefault="006C02F1">
            <w:pPr>
              <w:spacing w:line="400" w:lineRule="exact"/>
              <w:rPr>
                <w:rFonts w:ascii="宋体" w:eastAsia="宋体" w:cs="Times New Roman"/>
                <w:sz w:val="18"/>
                <w:szCs w:val="18"/>
              </w:rPr>
            </w:pPr>
          </w:p>
        </w:tc>
        <w:tc>
          <w:tcPr>
            <w:tcW w:w="696" w:type="dxa"/>
            <w:vMerge/>
            <w:vAlign w:val="center"/>
          </w:tcPr>
          <w:p w:rsidR="006C02F1" w:rsidRDefault="006C02F1">
            <w:pPr>
              <w:spacing w:line="400" w:lineRule="exact"/>
              <w:rPr>
                <w:rFonts w:ascii="黑体" w:eastAsia="黑体" w:hAnsi="黑体" w:cs="Times New Roman"/>
                <w:sz w:val="24"/>
                <w:szCs w:val="24"/>
              </w:rPr>
            </w:pPr>
          </w:p>
        </w:tc>
        <w:tc>
          <w:tcPr>
            <w:tcW w:w="772"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商业企业</w:t>
            </w:r>
          </w:p>
        </w:tc>
        <w:tc>
          <w:tcPr>
            <w:tcW w:w="705"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科研机构</w:t>
            </w:r>
          </w:p>
        </w:tc>
        <w:tc>
          <w:tcPr>
            <w:tcW w:w="925"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社会公益组织</w:t>
            </w:r>
          </w:p>
        </w:tc>
        <w:tc>
          <w:tcPr>
            <w:tcW w:w="735"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法律服务机构</w:t>
            </w:r>
          </w:p>
        </w:tc>
        <w:tc>
          <w:tcPr>
            <w:tcW w:w="460" w:type="dxa"/>
            <w:vAlign w:val="center"/>
          </w:tcPr>
          <w:p w:rsidR="006C02F1" w:rsidRDefault="00EC68B9">
            <w:pPr>
              <w:spacing w:line="400" w:lineRule="exact"/>
              <w:jc w:val="center"/>
              <w:rPr>
                <w:rFonts w:ascii="黑体" w:eastAsia="黑体" w:hAnsi="黑体" w:cs="Times New Roman"/>
                <w:sz w:val="24"/>
                <w:szCs w:val="24"/>
              </w:rPr>
            </w:pPr>
            <w:r>
              <w:rPr>
                <w:rFonts w:ascii="黑体" w:eastAsia="黑体" w:hAnsi="黑体" w:cs="黑体" w:hint="eastAsia"/>
                <w:sz w:val="24"/>
                <w:szCs w:val="24"/>
              </w:rPr>
              <w:t>其他</w:t>
            </w:r>
          </w:p>
        </w:tc>
        <w:tc>
          <w:tcPr>
            <w:tcW w:w="519" w:type="dxa"/>
            <w:vMerge/>
            <w:vAlign w:val="center"/>
          </w:tcPr>
          <w:p w:rsidR="006C02F1" w:rsidRDefault="006C02F1">
            <w:pPr>
              <w:spacing w:line="400" w:lineRule="exact"/>
              <w:rPr>
                <w:rFonts w:ascii="黑体" w:eastAsia="黑体" w:hAnsi="黑体" w:cs="Times New Roman"/>
                <w:sz w:val="24"/>
                <w:szCs w:val="24"/>
              </w:rPr>
            </w:pPr>
          </w:p>
        </w:tc>
      </w:tr>
      <w:tr w:rsidR="006C02F1">
        <w:trPr>
          <w:trHeight w:val="345"/>
          <w:jc w:val="center"/>
        </w:trPr>
        <w:tc>
          <w:tcPr>
            <w:tcW w:w="4107" w:type="dxa"/>
            <w:gridSpan w:val="3"/>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一、本年新收到政府信息公开申请数量</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30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30</w:t>
            </w:r>
          </w:p>
        </w:tc>
      </w:tr>
      <w:tr w:rsidR="006C02F1">
        <w:trPr>
          <w:trHeight w:val="407"/>
          <w:jc w:val="center"/>
        </w:trPr>
        <w:tc>
          <w:tcPr>
            <w:tcW w:w="4107" w:type="dxa"/>
            <w:gridSpan w:val="3"/>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二、上年结转政府信息公开申请数量</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w:t>
            </w:r>
          </w:p>
        </w:tc>
      </w:tr>
      <w:tr w:rsidR="006C02F1">
        <w:trPr>
          <w:jc w:val="center"/>
        </w:trPr>
        <w:tc>
          <w:tcPr>
            <w:tcW w:w="999" w:type="dxa"/>
            <w:vMerge w:val="restart"/>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三、本年度办理结果</w:t>
            </w:r>
          </w:p>
        </w:tc>
        <w:tc>
          <w:tcPr>
            <w:tcW w:w="3108" w:type="dxa"/>
            <w:gridSpan w:val="2"/>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（一）予以公开</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10</w:t>
            </w:r>
          </w:p>
        </w:tc>
      </w:tr>
      <w:tr w:rsidR="006C02F1">
        <w:trPr>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3108" w:type="dxa"/>
            <w:gridSpan w:val="2"/>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（二）部分公开（区分处理的，只计这一情形，不计其他情形）</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11</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11</w:t>
            </w:r>
          </w:p>
        </w:tc>
      </w:tr>
      <w:tr w:rsidR="006C02F1">
        <w:trPr>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restart"/>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（三）不予公开</w:t>
            </w: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1.</w:t>
            </w:r>
            <w:r>
              <w:rPr>
                <w:rFonts w:ascii="仿宋_GB2312" w:eastAsia="仿宋_GB2312" w:hAnsi="仿宋_GB2312" w:cs="仿宋_GB2312" w:hint="eastAsia"/>
                <w:sz w:val="24"/>
                <w:szCs w:val="24"/>
              </w:rPr>
              <w:t>属于国家秘密</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其他法律行政</w:t>
            </w:r>
            <w:r>
              <w:rPr>
                <w:rFonts w:ascii="仿宋_GB2312" w:eastAsia="仿宋_GB2312" w:hAnsi="仿宋_GB2312" w:cs="仿宋_GB2312" w:hint="eastAsia"/>
                <w:sz w:val="24"/>
                <w:szCs w:val="24"/>
              </w:rPr>
              <w:lastRenderedPageBreak/>
              <w:t>法规禁止公开</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lastRenderedPageBreak/>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354"/>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危及“三安全</w:t>
            </w:r>
            <w:proofErr w:type="gramStart"/>
            <w:r>
              <w:rPr>
                <w:rFonts w:ascii="仿宋_GB2312" w:eastAsia="仿宋_GB2312" w:hAnsi="仿宋_GB2312" w:cs="仿宋_GB2312" w:hint="eastAsia"/>
                <w:sz w:val="24"/>
                <w:szCs w:val="24"/>
              </w:rPr>
              <w:t>一</w:t>
            </w:r>
            <w:proofErr w:type="gramEnd"/>
            <w:r>
              <w:rPr>
                <w:rFonts w:ascii="仿宋_GB2312" w:eastAsia="仿宋_GB2312" w:hAnsi="仿宋_GB2312" w:cs="仿宋_GB2312" w:hint="eastAsia"/>
                <w:sz w:val="24"/>
                <w:szCs w:val="24"/>
              </w:rPr>
              <w:t>稳定”</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45"/>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保护第三方合法权益</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5.</w:t>
            </w:r>
            <w:r>
              <w:rPr>
                <w:rFonts w:ascii="仿宋_GB2312" w:eastAsia="仿宋_GB2312" w:hAnsi="仿宋_GB2312" w:cs="仿宋_GB2312" w:hint="eastAsia"/>
                <w:sz w:val="24"/>
                <w:szCs w:val="24"/>
              </w:rPr>
              <w:t>属于三类内部事务信息</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61"/>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6.</w:t>
            </w:r>
            <w:r>
              <w:rPr>
                <w:rFonts w:ascii="仿宋_GB2312" w:eastAsia="仿宋_GB2312" w:hAnsi="仿宋_GB2312" w:cs="仿宋_GB2312" w:hint="eastAsia"/>
                <w:sz w:val="24"/>
                <w:szCs w:val="24"/>
              </w:rPr>
              <w:t>属于四类过程性信息</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22"/>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7.</w:t>
            </w:r>
            <w:r>
              <w:rPr>
                <w:rFonts w:ascii="仿宋_GB2312" w:eastAsia="仿宋_GB2312" w:hAnsi="仿宋_GB2312" w:cs="仿宋_GB2312" w:hint="eastAsia"/>
                <w:sz w:val="24"/>
                <w:szCs w:val="24"/>
              </w:rPr>
              <w:t>属于行政执法案卷</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02"/>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8.</w:t>
            </w:r>
            <w:r>
              <w:rPr>
                <w:rFonts w:ascii="仿宋_GB2312" w:eastAsia="仿宋_GB2312" w:hAnsi="仿宋_GB2312" w:cs="仿宋_GB2312" w:hint="eastAsia"/>
                <w:sz w:val="24"/>
                <w:szCs w:val="24"/>
              </w:rPr>
              <w:t>属于行政查询事项</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w:t>
            </w:r>
          </w:p>
        </w:tc>
      </w:tr>
      <w:tr w:rsidR="006C02F1">
        <w:trPr>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restart"/>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（四）无法提供</w:t>
            </w: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1.</w:t>
            </w:r>
            <w:r>
              <w:rPr>
                <w:rFonts w:ascii="仿宋_GB2312" w:eastAsia="仿宋_GB2312" w:hAnsi="仿宋_GB2312" w:cs="仿宋_GB2312" w:hint="eastAsia"/>
                <w:sz w:val="24"/>
                <w:szCs w:val="24"/>
              </w:rPr>
              <w:t>本机关不掌握相关政府信息</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8</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8</w:t>
            </w:r>
          </w:p>
        </w:tc>
      </w:tr>
      <w:tr w:rsidR="006C02F1">
        <w:trPr>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没有现成信息需要另行制作</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补正后申请内容仍不明确</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40"/>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restart"/>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（五）</w:t>
            </w:r>
            <w:proofErr w:type="gramStart"/>
            <w:r>
              <w:rPr>
                <w:rFonts w:ascii="仿宋_GB2312" w:eastAsia="仿宋_GB2312" w:hAnsi="仿宋_GB2312" w:cs="仿宋_GB2312" w:hint="eastAsia"/>
                <w:sz w:val="24"/>
                <w:szCs w:val="24"/>
              </w:rPr>
              <w:t>不予处理</w:t>
            </w:r>
            <w:proofErr w:type="gramEnd"/>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1.</w:t>
            </w:r>
            <w:r>
              <w:rPr>
                <w:rFonts w:ascii="仿宋_GB2312" w:eastAsia="仿宋_GB2312" w:hAnsi="仿宋_GB2312" w:cs="仿宋_GB2312" w:hint="eastAsia"/>
                <w:sz w:val="24"/>
                <w:szCs w:val="24"/>
              </w:rPr>
              <w:t>信访举报投诉类申请</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19"/>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重复申请</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11"/>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要求提供公开出版物</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无正当理由大量反复申请</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Times New Roman"/>
                <w:sz w:val="24"/>
                <w:szCs w:val="24"/>
              </w:rPr>
            </w:pPr>
          </w:p>
        </w:tc>
        <w:tc>
          <w:tcPr>
            <w:tcW w:w="2028" w:type="dxa"/>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sz w:val="24"/>
                <w:szCs w:val="24"/>
              </w:rPr>
              <w:t>5.</w:t>
            </w:r>
            <w:r>
              <w:rPr>
                <w:rFonts w:ascii="仿宋_GB2312" w:eastAsia="仿宋_GB2312" w:hAnsi="仿宋_GB2312" w:cs="仿宋_GB2312" w:hint="eastAsia"/>
                <w:sz w:val="24"/>
                <w:szCs w:val="24"/>
              </w:rPr>
              <w:t>要求行政机关确认或重新出具已获取信息</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35"/>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restart"/>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（六）其他处理</w:t>
            </w:r>
          </w:p>
        </w:tc>
        <w:tc>
          <w:tcPr>
            <w:tcW w:w="2028" w:type="dxa"/>
            <w:vAlign w:val="center"/>
          </w:tcPr>
          <w:p w:rsidR="006C02F1" w:rsidRDefault="00EC68B9">
            <w:pPr>
              <w:spacing w:line="40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申请人无正当理由逾期</w:t>
            </w:r>
            <w:proofErr w:type="gramStart"/>
            <w:r>
              <w:rPr>
                <w:rFonts w:ascii="仿宋_GB2312" w:eastAsia="仿宋_GB2312" w:hAnsi="仿宋_GB2312" w:cs="仿宋_GB2312" w:hint="eastAsia"/>
                <w:sz w:val="24"/>
                <w:szCs w:val="24"/>
              </w:rPr>
              <w:t>不</w:t>
            </w:r>
            <w:proofErr w:type="gramEnd"/>
            <w:r>
              <w:rPr>
                <w:rFonts w:ascii="仿宋_GB2312" w:eastAsia="仿宋_GB2312" w:hAnsi="仿宋_GB2312" w:cs="仿宋_GB2312" w:hint="eastAsia"/>
                <w:sz w:val="24"/>
                <w:szCs w:val="24"/>
              </w:rPr>
              <w:t>补正、</w:t>
            </w:r>
            <w:r>
              <w:rPr>
                <w:rFonts w:ascii="仿宋_GB2312" w:eastAsia="仿宋_GB2312" w:hAnsi="仿宋_GB2312" w:cs="仿宋_GB2312" w:hint="eastAsia"/>
                <w:sz w:val="24"/>
                <w:szCs w:val="24"/>
              </w:rPr>
              <w:lastRenderedPageBreak/>
              <w:t>行政机关</w:t>
            </w:r>
            <w:proofErr w:type="gramStart"/>
            <w:r>
              <w:rPr>
                <w:rFonts w:ascii="仿宋_GB2312" w:eastAsia="仿宋_GB2312" w:hAnsi="仿宋_GB2312" w:cs="仿宋_GB2312" w:hint="eastAsia"/>
                <w:sz w:val="24"/>
                <w:szCs w:val="24"/>
              </w:rPr>
              <w:t>不</w:t>
            </w:r>
            <w:proofErr w:type="gramEnd"/>
            <w:r>
              <w:rPr>
                <w:rFonts w:ascii="仿宋_GB2312" w:eastAsia="仿宋_GB2312" w:hAnsi="仿宋_GB2312" w:cs="仿宋_GB2312" w:hint="eastAsia"/>
                <w:sz w:val="24"/>
                <w:szCs w:val="24"/>
              </w:rPr>
              <w:t>再处理其政府信息公开申请</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lastRenderedPageBreak/>
              <w:t>1</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1</w:t>
            </w:r>
          </w:p>
        </w:tc>
      </w:tr>
      <w:tr w:rsidR="006C02F1">
        <w:trPr>
          <w:trHeight w:val="435"/>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仿宋_GB2312"/>
                <w:sz w:val="24"/>
                <w:szCs w:val="24"/>
              </w:rPr>
            </w:pPr>
          </w:p>
        </w:tc>
        <w:tc>
          <w:tcPr>
            <w:tcW w:w="2028" w:type="dxa"/>
            <w:vAlign w:val="center"/>
          </w:tcPr>
          <w:p w:rsidR="006C02F1" w:rsidRDefault="00EC68B9">
            <w:pPr>
              <w:spacing w:line="40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申请人逾期未按收费通知要求缴纳费用、行政机关</w:t>
            </w:r>
            <w:proofErr w:type="gramStart"/>
            <w:r>
              <w:rPr>
                <w:rFonts w:ascii="仿宋_GB2312" w:eastAsia="仿宋_GB2312" w:hAnsi="仿宋_GB2312" w:cs="仿宋_GB2312" w:hint="eastAsia"/>
                <w:sz w:val="24"/>
                <w:szCs w:val="24"/>
              </w:rPr>
              <w:t>不</w:t>
            </w:r>
            <w:proofErr w:type="gramEnd"/>
            <w:r>
              <w:rPr>
                <w:rFonts w:ascii="仿宋_GB2312" w:eastAsia="仿宋_GB2312" w:hAnsi="仿宋_GB2312" w:cs="仿宋_GB2312" w:hint="eastAsia"/>
                <w:sz w:val="24"/>
                <w:szCs w:val="24"/>
              </w:rPr>
              <w:t>再处理其政府信息公开申请</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435"/>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1080" w:type="dxa"/>
            <w:vMerge/>
            <w:vAlign w:val="center"/>
          </w:tcPr>
          <w:p w:rsidR="006C02F1" w:rsidRDefault="006C02F1">
            <w:pPr>
              <w:spacing w:line="400" w:lineRule="exact"/>
              <w:rPr>
                <w:rFonts w:ascii="仿宋_GB2312" w:eastAsia="仿宋_GB2312" w:hAnsi="仿宋_GB2312" w:cs="仿宋_GB2312"/>
                <w:sz w:val="24"/>
                <w:szCs w:val="24"/>
              </w:rPr>
            </w:pPr>
          </w:p>
        </w:tc>
        <w:tc>
          <w:tcPr>
            <w:tcW w:w="2028" w:type="dxa"/>
            <w:vAlign w:val="center"/>
          </w:tcPr>
          <w:p w:rsidR="006C02F1" w:rsidRDefault="00EC68B9">
            <w:pPr>
              <w:spacing w:line="40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其他</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r w:rsidR="006C02F1">
        <w:trPr>
          <w:trHeight w:val="399"/>
          <w:jc w:val="center"/>
        </w:trPr>
        <w:tc>
          <w:tcPr>
            <w:tcW w:w="999" w:type="dxa"/>
            <w:vMerge/>
            <w:vAlign w:val="center"/>
          </w:tcPr>
          <w:p w:rsidR="006C02F1" w:rsidRDefault="006C02F1">
            <w:pPr>
              <w:spacing w:line="400" w:lineRule="exact"/>
              <w:rPr>
                <w:rFonts w:ascii="仿宋_GB2312" w:eastAsia="仿宋_GB2312" w:hAnsi="仿宋_GB2312" w:cs="Times New Roman"/>
                <w:sz w:val="24"/>
                <w:szCs w:val="24"/>
              </w:rPr>
            </w:pPr>
          </w:p>
        </w:tc>
        <w:tc>
          <w:tcPr>
            <w:tcW w:w="3108" w:type="dxa"/>
            <w:gridSpan w:val="2"/>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（七）总计</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31</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31</w:t>
            </w:r>
          </w:p>
        </w:tc>
      </w:tr>
      <w:tr w:rsidR="006C02F1">
        <w:trPr>
          <w:trHeight w:val="432"/>
          <w:jc w:val="center"/>
        </w:trPr>
        <w:tc>
          <w:tcPr>
            <w:tcW w:w="4107" w:type="dxa"/>
            <w:gridSpan w:val="3"/>
            <w:vAlign w:val="center"/>
          </w:tcPr>
          <w:p w:rsidR="006C02F1" w:rsidRDefault="00EC68B9">
            <w:pPr>
              <w:spacing w:line="400" w:lineRule="exact"/>
              <w:rPr>
                <w:rFonts w:ascii="仿宋_GB2312" w:eastAsia="仿宋_GB2312" w:hAnsi="仿宋_GB2312" w:cs="Times New Roman"/>
                <w:sz w:val="24"/>
                <w:szCs w:val="24"/>
              </w:rPr>
            </w:pPr>
            <w:r>
              <w:rPr>
                <w:rFonts w:ascii="仿宋_GB2312" w:eastAsia="仿宋_GB2312" w:hAnsi="仿宋_GB2312" w:cs="仿宋_GB2312" w:hint="eastAsia"/>
                <w:sz w:val="24"/>
                <w:szCs w:val="24"/>
              </w:rPr>
              <w:t>四、结转下年度继续办理</w:t>
            </w:r>
          </w:p>
        </w:tc>
        <w:tc>
          <w:tcPr>
            <w:tcW w:w="696"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72"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0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92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735"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460"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c>
          <w:tcPr>
            <w:tcW w:w="519" w:type="dxa"/>
            <w:vAlign w:val="center"/>
          </w:tcPr>
          <w:p w:rsidR="006C02F1" w:rsidRDefault="00EC68B9">
            <w:pPr>
              <w:spacing w:line="400" w:lineRule="exact"/>
              <w:jc w:val="center"/>
              <w:rPr>
                <w:rFonts w:ascii="仿宋_GB2312" w:eastAsia="仿宋_GB2312" w:hAnsi="仿宋_GB2312" w:cs="Times New Roman"/>
                <w:sz w:val="24"/>
                <w:szCs w:val="24"/>
              </w:rPr>
            </w:pPr>
            <w:r>
              <w:rPr>
                <w:rFonts w:ascii="仿宋_GB2312" w:eastAsia="仿宋_GB2312" w:hAnsi="仿宋_GB2312" w:cs="Times New Roman" w:hint="eastAsia"/>
                <w:sz w:val="24"/>
                <w:szCs w:val="24"/>
              </w:rPr>
              <w:t>0</w:t>
            </w:r>
          </w:p>
        </w:tc>
      </w:tr>
    </w:tbl>
    <w:p w:rsidR="006C02F1" w:rsidRDefault="00EC68B9" w:rsidP="00D43EA1">
      <w:pPr>
        <w:spacing w:line="560" w:lineRule="exact"/>
        <w:ind w:firstLineChars="200" w:firstLine="6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四、政府信息公开行政复议、行政诉讼情况</w:t>
      </w:r>
    </w:p>
    <w:tbl>
      <w:tblPr>
        <w:tblW w:w="88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583"/>
        <w:gridCol w:w="583"/>
        <w:gridCol w:w="583"/>
        <w:gridCol w:w="583"/>
        <w:gridCol w:w="661"/>
        <w:gridCol w:w="529"/>
        <w:gridCol w:w="584"/>
        <w:gridCol w:w="584"/>
        <w:gridCol w:w="584"/>
        <w:gridCol w:w="611"/>
        <w:gridCol w:w="584"/>
        <w:gridCol w:w="584"/>
        <w:gridCol w:w="584"/>
        <w:gridCol w:w="585"/>
        <w:gridCol w:w="617"/>
      </w:tblGrid>
      <w:tr w:rsidR="006C02F1">
        <w:trPr>
          <w:trHeight w:val="495"/>
          <w:jc w:val="center"/>
        </w:trPr>
        <w:tc>
          <w:tcPr>
            <w:tcW w:w="2993" w:type="dxa"/>
            <w:gridSpan w:val="5"/>
            <w:tcBorders>
              <w:tl2br w:val="nil"/>
              <w:tr2bl w:val="nil"/>
            </w:tcBorders>
            <w:tcMar>
              <w:left w:w="108" w:type="dxa"/>
              <w:right w:w="108" w:type="dxa"/>
            </w:tcMar>
            <w:vAlign w:val="center"/>
          </w:tcPr>
          <w:p w:rsidR="006C02F1" w:rsidRDefault="00EC68B9">
            <w:pPr>
              <w:spacing w:line="400" w:lineRule="exact"/>
              <w:jc w:val="center"/>
              <w:rPr>
                <w:rFonts w:ascii="黑体" w:eastAsia="黑体" w:hAnsi="黑体" w:cs="黑体"/>
                <w:sz w:val="24"/>
                <w:szCs w:val="24"/>
              </w:rPr>
            </w:pPr>
            <w:r>
              <w:rPr>
                <w:rFonts w:ascii="黑体" w:eastAsia="黑体" w:hAnsi="黑体" w:cs="黑体" w:hint="eastAsia"/>
                <w:sz w:val="24"/>
                <w:szCs w:val="24"/>
              </w:rPr>
              <w:t>行政复议</w:t>
            </w:r>
          </w:p>
        </w:tc>
        <w:tc>
          <w:tcPr>
            <w:tcW w:w="5846" w:type="dxa"/>
            <w:gridSpan w:val="10"/>
            <w:tcBorders>
              <w:tl2br w:val="nil"/>
              <w:tr2bl w:val="nil"/>
            </w:tcBorders>
            <w:tcMar>
              <w:left w:w="108" w:type="dxa"/>
              <w:right w:w="108" w:type="dxa"/>
            </w:tcMar>
            <w:vAlign w:val="center"/>
          </w:tcPr>
          <w:p w:rsidR="006C02F1" w:rsidRDefault="00EC68B9">
            <w:pPr>
              <w:spacing w:line="400" w:lineRule="exact"/>
              <w:jc w:val="center"/>
              <w:rPr>
                <w:rFonts w:ascii="黑体" w:eastAsia="黑体" w:hAnsi="黑体" w:cs="黑体"/>
                <w:sz w:val="24"/>
                <w:szCs w:val="24"/>
              </w:rPr>
            </w:pPr>
            <w:r>
              <w:rPr>
                <w:rFonts w:ascii="黑体" w:eastAsia="黑体" w:hAnsi="黑体" w:cs="黑体" w:hint="eastAsia"/>
                <w:sz w:val="24"/>
                <w:szCs w:val="24"/>
              </w:rPr>
              <w:t>行政诉讼</w:t>
            </w:r>
          </w:p>
        </w:tc>
      </w:tr>
      <w:tr w:rsidR="006C02F1">
        <w:trPr>
          <w:trHeight w:val="495"/>
          <w:jc w:val="center"/>
        </w:trPr>
        <w:tc>
          <w:tcPr>
            <w:tcW w:w="583" w:type="dxa"/>
            <w:vMerge w:val="restart"/>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结果维持</w:t>
            </w:r>
          </w:p>
        </w:tc>
        <w:tc>
          <w:tcPr>
            <w:tcW w:w="583" w:type="dxa"/>
            <w:vMerge w:val="restart"/>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结果纠正</w:t>
            </w:r>
          </w:p>
        </w:tc>
        <w:tc>
          <w:tcPr>
            <w:tcW w:w="583" w:type="dxa"/>
            <w:vMerge w:val="restart"/>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其他结果</w:t>
            </w:r>
          </w:p>
        </w:tc>
        <w:tc>
          <w:tcPr>
            <w:tcW w:w="583" w:type="dxa"/>
            <w:vMerge w:val="restart"/>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尚未审结</w:t>
            </w:r>
          </w:p>
        </w:tc>
        <w:tc>
          <w:tcPr>
            <w:tcW w:w="661" w:type="dxa"/>
            <w:vMerge w:val="restart"/>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总计</w:t>
            </w:r>
          </w:p>
        </w:tc>
        <w:tc>
          <w:tcPr>
            <w:tcW w:w="2892" w:type="dxa"/>
            <w:gridSpan w:val="5"/>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未经复议直接起诉</w:t>
            </w:r>
          </w:p>
        </w:tc>
        <w:tc>
          <w:tcPr>
            <w:tcW w:w="2954" w:type="dxa"/>
            <w:gridSpan w:val="5"/>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复议后起诉</w:t>
            </w:r>
          </w:p>
        </w:tc>
      </w:tr>
      <w:tr w:rsidR="006C02F1">
        <w:trPr>
          <w:trHeight w:val="1595"/>
          <w:jc w:val="center"/>
        </w:trPr>
        <w:tc>
          <w:tcPr>
            <w:tcW w:w="583" w:type="dxa"/>
            <w:vMerge/>
            <w:tcBorders>
              <w:tl2br w:val="nil"/>
              <w:tr2bl w:val="nil"/>
            </w:tcBorders>
            <w:tcMar>
              <w:left w:w="108" w:type="dxa"/>
              <w:right w:w="108" w:type="dxa"/>
            </w:tcMar>
            <w:vAlign w:val="center"/>
          </w:tcPr>
          <w:p w:rsidR="006C02F1" w:rsidRDefault="006C02F1">
            <w:pPr>
              <w:spacing w:line="400" w:lineRule="exact"/>
              <w:jc w:val="center"/>
              <w:rPr>
                <w:rFonts w:ascii="仿宋_GB2312" w:eastAsia="仿宋_GB2312" w:hAnsi="仿宋_GB2312" w:cs="仿宋_GB2312"/>
                <w:sz w:val="24"/>
                <w:szCs w:val="24"/>
              </w:rPr>
            </w:pPr>
          </w:p>
        </w:tc>
        <w:tc>
          <w:tcPr>
            <w:tcW w:w="583" w:type="dxa"/>
            <w:vMerge/>
            <w:tcBorders>
              <w:tl2br w:val="nil"/>
              <w:tr2bl w:val="nil"/>
            </w:tcBorders>
            <w:tcMar>
              <w:left w:w="108" w:type="dxa"/>
              <w:right w:w="108" w:type="dxa"/>
            </w:tcMar>
            <w:vAlign w:val="center"/>
          </w:tcPr>
          <w:p w:rsidR="006C02F1" w:rsidRDefault="006C02F1">
            <w:pPr>
              <w:spacing w:line="400" w:lineRule="exact"/>
              <w:jc w:val="center"/>
              <w:rPr>
                <w:rFonts w:ascii="仿宋_GB2312" w:eastAsia="仿宋_GB2312" w:hAnsi="仿宋_GB2312" w:cs="仿宋_GB2312"/>
                <w:sz w:val="24"/>
                <w:szCs w:val="24"/>
              </w:rPr>
            </w:pPr>
          </w:p>
        </w:tc>
        <w:tc>
          <w:tcPr>
            <w:tcW w:w="583" w:type="dxa"/>
            <w:vMerge/>
            <w:tcBorders>
              <w:tl2br w:val="nil"/>
              <w:tr2bl w:val="nil"/>
            </w:tcBorders>
            <w:tcMar>
              <w:left w:w="108" w:type="dxa"/>
              <w:right w:w="108" w:type="dxa"/>
            </w:tcMar>
            <w:vAlign w:val="center"/>
          </w:tcPr>
          <w:p w:rsidR="006C02F1" w:rsidRDefault="006C02F1">
            <w:pPr>
              <w:spacing w:line="400" w:lineRule="exact"/>
              <w:jc w:val="center"/>
              <w:rPr>
                <w:rFonts w:ascii="仿宋_GB2312" w:eastAsia="仿宋_GB2312" w:hAnsi="仿宋_GB2312" w:cs="仿宋_GB2312"/>
                <w:sz w:val="24"/>
                <w:szCs w:val="24"/>
              </w:rPr>
            </w:pPr>
          </w:p>
        </w:tc>
        <w:tc>
          <w:tcPr>
            <w:tcW w:w="583" w:type="dxa"/>
            <w:vMerge/>
            <w:tcBorders>
              <w:tl2br w:val="nil"/>
              <w:tr2bl w:val="nil"/>
            </w:tcBorders>
            <w:tcMar>
              <w:left w:w="108" w:type="dxa"/>
              <w:right w:w="108" w:type="dxa"/>
            </w:tcMar>
            <w:vAlign w:val="center"/>
          </w:tcPr>
          <w:p w:rsidR="006C02F1" w:rsidRDefault="006C02F1">
            <w:pPr>
              <w:spacing w:line="400" w:lineRule="exact"/>
              <w:jc w:val="center"/>
              <w:rPr>
                <w:rFonts w:ascii="仿宋_GB2312" w:eastAsia="仿宋_GB2312" w:hAnsi="仿宋_GB2312" w:cs="仿宋_GB2312"/>
                <w:sz w:val="24"/>
                <w:szCs w:val="24"/>
              </w:rPr>
            </w:pPr>
          </w:p>
        </w:tc>
        <w:tc>
          <w:tcPr>
            <w:tcW w:w="661" w:type="dxa"/>
            <w:vMerge/>
            <w:tcBorders>
              <w:tl2br w:val="nil"/>
              <w:tr2bl w:val="nil"/>
            </w:tcBorders>
            <w:tcMar>
              <w:left w:w="108" w:type="dxa"/>
              <w:right w:w="108" w:type="dxa"/>
            </w:tcMar>
            <w:vAlign w:val="center"/>
          </w:tcPr>
          <w:p w:rsidR="006C02F1" w:rsidRDefault="006C02F1">
            <w:pPr>
              <w:spacing w:line="400" w:lineRule="exact"/>
              <w:jc w:val="center"/>
              <w:rPr>
                <w:rFonts w:ascii="仿宋_GB2312" w:eastAsia="仿宋_GB2312" w:hAnsi="仿宋_GB2312" w:cs="仿宋_GB2312"/>
                <w:sz w:val="24"/>
                <w:szCs w:val="24"/>
              </w:rPr>
            </w:pPr>
          </w:p>
        </w:tc>
        <w:tc>
          <w:tcPr>
            <w:tcW w:w="529"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结果维持</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结果纠正</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其他结果</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尚未审结</w:t>
            </w:r>
          </w:p>
        </w:tc>
        <w:tc>
          <w:tcPr>
            <w:tcW w:w="611"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总计</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结果维持</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结果纠正</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其他结果</w:t>
            </w:r>
          </w:p>
        </w:tc>
        <w:tc>
          <w:tcPr>
            <w:tcW w:w="585"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尚未审结</w:t>
            </w:r>
          </w:p>
        </w:tc>
        <w:tc>
          <w:tcPr>
            <w:tcW w:w="617"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总计</w:t>
            </w:r>
          </w:p>
        </w:tc>
      </w:tr>
      <w:tr w:rsidR="006C02F1">
        <w:trPr>
          <w:trHeight w:val="1595"/>
          <w:jc w:val="center"/>
        </w:trPr>
        <w:tc>
          <w:tcPr>
            <w:tcW w:w="583"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583"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583"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583"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661"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529"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611"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584"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585"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c>
          <w:tcPr>
            <w:tcW w:w="617" w:type="dxa"/>
            <w:tcBorders>
              <w:tl2br w:val="nil"/>
              <w:tr2bl w:val="nil"/>
            </w:tcBorders>
            <w:tcMar>
              <w:left w:w="108" w:type="dxa"/>
              <w:right w:w="108" w:type="dxa"/>
            </w:tcMar>
            <w:vAlign w:val="center"/>
          </w:tcPr>
          <w:p w:rsidR="006C02F1" w:rsidRDefault="00EC68B9">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w:t>
            </w:r>
          </w:p>
        </w:tc>
      </w:tr>
    </w:tbl>
    <w:p w:rsidR="006C02F1" w:rsidRDefault="00EC68B9" w:rsidP="00D43EA1">
      <w:pPr>
        <w:spacing w:line="560" w:lineRule="exact"/>
        <w:ind w:firstLineChars="200" w:firstLine="6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五、存在的主要问题及改进情况</w:t>
      </w:r>
    </w:p>
    <w:p w:rsidR="006C02F1" w:rsidRDefault="00EC68B9" w:rsidP="00D43EA1">
      <w:pPr>
        <w:spacing w:line="560" w:lineRule="exact"/>
        <w:ind w:firstLineChars="200" w:firstLine="620"/>
        <w:rPr>
          <w:rFonts w:ascii="仿宋_GB2312" w:eastAsia="仿宋_GB2312" w:hAnsi="仿宋_GB2312" w:cs="仿宋_GB2312"/>
          <w:sz w:val="32"/>
          <w:szCs w:val="32"/>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年，镇政府严格按照上级要求落实各项政务公开工作，圆满完成公开任务，但尚存在政务信息公开渠道单一、公开范围有待拓宽等问题。</w:t>
      </w:r>
    </w:p>
    <w:p w:rsidR="006C02F1" w:rsidRDefault="00EC68B9" w:rsidP="00D43EA1">
      <w:pPr>
        <w:spacing w:line="560" w:lineRule="exact"/>
        <w:ind w:firstLineChars="200" w:firstLine="620"/>
        <w:rPr>
          <w:rFonts w:ascii="仿宋_GB2312" w:eastAsia="仿宋_GB2312" w:hAnsi="仿宋_GB2312" w:cs="仿宋_GB2312"/>
          <w:sz w:val="32"/>
          <w:szCs w:val="32"/>
        </w:rPr>
      </w:pP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年，镇政府将全面发力，开拓创新政务公开新渠道，挖掘梳理公开群众感兴趣的政府信息，确保政务公开更有成效，有</w:t>
      </w:r>
      <w:r>
        <w:rPr>
          <w:rFonts w:ascii="仿宋_GB2312" w:eastAsia="仿宋_GB2312" w:hAnsi="仿宋_GB2312" w:cs="仿宋_GB2312" w:hint="eastAsia"/>
          <w:sz w:val="32"/>
          <w:szCs w:val="32"/>
        </w:rPr>
        <w:lastRenderedPageBreak/>
        <w:t>效推动政务公开工作在建设服务型政府中发挥积极作用。</w:t>
      </w:r>
    </w:p>
    <w:p w:rsidR="006C02F1" w:rsidRDefault="00EC68B9" w:rsidP="00D43EA1">
      <w:pPr>
        <w:spacing w:line="560" w:lineRule="exact"/>
        <w:ind w:firstLineChars="200" w:firstLine="6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六、其他需要报告的事项</w:t>
      </w:r>
    </w:p>
    <w:p w:rsidR="006C02F1" w:rsidRDefault="00EC68B9" w:rsidP="00D43EA1">
      <w:pPr>
        <w:spacing w:line="560" w:lineRule="exact"/>
        <w:ind w:firstLineChars="200" w:firstLine="620"/>
        <w:rPr>
          <w:rFonts w:ascii="仿宋_GB2312" w:eastAsia="仿宋_GB2312" w:hAnsi="仿宋_GB2312" w:cs="仿宋_GB2312"/>
          <w:sz w:val="32"/>
          <w:szCs w:val="32"/>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日至</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日，本单位共收取信息处理费</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w:t>
      </w:r>
    </w:p>
    <w:p w:rsidR="006C02F1" w:rsidRDefault="006C02F1">
      <w:pPr>
        <w:spacing w:line="560" w:lineRule="exact"/>
        <w:rPr>
          <w:rFonts w:ascii="仿宋_GB2312" w:eastAsia="仿宋_GB2312" w:hAnsi="仿宋_GB2312" w:cs="仿宋_GB2312"/>
          <w:sz w:val="32"/>
          <w:szCs w:val="32"/>
        </w:rPr>
      </w:pPr>
    </w:p>
    <w:p w:rsidR="006C02F1" w:rsidRDefault="006C02F1" w:rsidP="00D43EA1">
      <w:pPr>
        <w:spacing w:line="560" w:lineRule="exact"/>
        <w:ind w:firstLineChars="200" w:firstLine="620"/>
        <w:rPr>
          <w:rFonts w:ascii="仿宋_GB2312" w:eastAsia="仿宋_GB2312" w:hAnsi="仿宋_GB2312" w:cs="仿宋_GB2312"/>
          <w:sz w:val="32"/>
          <w:szCs w:val="32"/>
        </w:rPr>
      </w:pPr>
    </w:p>
    <w:p w:rsidR="006C02F1" w:rsidRDefault="00EC68B9" w:rsidP="00D43EA1">
      <w:pPr>
        <w:spacing w:line="560" w:lineRule="exact"/>
        <w:ind w:firstLineChars="200" w:firstLine="62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慈溪市观海卫镇人民政府</w:t>
      </w:r>
    </w:p>
    <w:p w:rsidR="006C02F1" w:rsidRDefault="00EC68B9" w:rsidP="00D43EA1">
      <w:pPr>
        <w:spacing w:line="560" w:lineRule="exact"/>
        <w:ind w:firstLineChars="200" w:firstLine="62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sidR="00D43EA1">
        <w:rPr>
          <w:rFonts w:ascii="仿宋_GB2312" w:eastAsia="仿宋_GB2312" w:hAnsi="仿宋_GB2312" w:cs="仿宋_GB2312" w:hint="eastAsia"/>
          <w:sz w:val="32"/>
          <w:szCs w:val="32"/>
        </w:rPr>
        <w:t>2</w:t>
      </w:r>
      <w:bookmarkStart w:id="0" w:name="_GoBack"/>
      <w:bookmarkEnd w:id="0"/>
      <w:r>
        <w:rPr>
          <w:rFonts w:ascii="仿宋_GB2312" w:eastAsia="仿宋_GB2312" w:hAnsi="仿宋_GB2312" w:cs="仿宋_GB2312" w:hint="eastAsia"/>
          <w:sz w:val="32"/>
          <w:szCs w:val="32"/>
        </w:rPr>
        <w:t>日</w:t>
      </w:r>
    </w:p>
    <w:p w:rsidR="006C02F1" w:rsidRDefault="006C02F1" w:rsidP="00D43EA1">
      <w:pPr>
        <w:spacing w:line="560" w:lineRule="exact"/>
        <w:ind w:firstLineChars="200" w:firstLine="620"/>
        <w:rPr>
          <w:rFonts w:ascii="仿宋_GB2312" w:eastAsia="仿宋_GB2312" w:hAnsi="仿宋_GB2312" w:cs="仿宋_GB2312"/>
          <w:sz w:val="32"/>
          <w:szCs w:val="32"/>
        </w:rPr>
      </w:pPr>
    </w:p>
    <w:p w:rsidR="006C02F1" w:rsidRDefault="006C02F1" w:rsidP="00D43EA1">
      <w:pPr>
        <w:spacing w:line="560" w:lineRule="exact"/>
        <w:ind w:firstLineChars="200" w:firstLine="620"/>
        <w:rPr>
          <w:rFonts w:ascii="仿宋_GB2312" w:eastAsia="仿宋_GB2312" w:hAnsi="仿宋_GB2312" w:cs="仿宋_GB2312"/>
          <w:sz w:val="32"/>
          <w:szCs w:val="32"/>
        </w:rPr>
      </w:pPr>
    </w:p>
    <w:p w:rsidR="006C02F1" w:rsidRDefault="006C02F1">
      <w:pPr>
        <w:spacing w:line="560" w:lineRule="exact"/>
        <w:rPr>
          <w:rFonts w:ascii="仿宋_GB2312" w:eastAsia="仿宋_GB2312" w:hAnsi="仿宋_GB2312" w:cs="仿宋_GB2312"/>
          <w:sz w:val="32"/>
          <w:szCs w:val="32"/>
        </w:rPr>
      </w:pPr>
    </w:p>
    <w:sectPr w:rsidR="006C02F1">
      <w:footerReference w:type="default" r:id="rId8"/>
      <w:pgSz w:w="11906" w:h="16838"/>
      <w:pgMar w:top="2098" w:right="1474" w:bottom="1985" w:left="1588" w:header="1021" w:footer="1588" w:gutter="0"/>
      <w:cols w:space="720"/>
      <w:docGrid w:type="linesAndChars" w:linePitch="5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68B9" w:rsidRDefault="00EC68B9">
      <w:r>
        <w:separator/>
      </w:r>
    </w:p>
  </w:endnote>
  <w:endnote w:type="continuationSeparator" w:id="0">
    <w:p w:rsidR="00EC68B9" w:rsidRDefault="00EC6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939433"/>
    </w:sdtPr>
    <w:sdtEndPr/>
    <w:sdtContent>
      <w:p w:rsidR="006C02F1" w:rsidRDefault="00EC68B9">
        <w:pPr>
          <w:pStyle w:val="a4"/>
          <w:jc w:val="center"/>
        </w:pPr>
        <w:r>
          <w:fldChar w:fldCharType="begin"/>
        </w:r>
        <w:r>
          <w:instrText xml:space="preserve"> PAGE   \* MERGEFORMAT </w:instrText>
        </w:r>
        <w:r>
          <w:fldChar w:fldCharType="separate"/>
        </w:r>
        <w:r w:rsidR="00D43EA1" w:rsidRPr="00D43EA1">
          <w:rPr>
            <w:noProof/>
            <w:lang w:val="zh-CN"/>
          </w:rPr>
          <w:t>6</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68B9" w:rsidRDefault="00EC68B9">
      <w:r>
        <w:separator/>
      </w:r>
    </w:p>
  </w:footnote>
  <w:footnote w:type="continuationSeparator" w:id="0">
    <w:p w:rsidR="00EC68B9" w:rsidRDefault="00EC68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44564"/>
    <w:rsid w:val="00020285"/>
    <w:rsid w:val="00037229"/>
    <w:rsid w:val="0005062A"/>
    <w:rsid w:val="000674C3"/>
    <w:rsid w:val="000B79B7"/>
    <w:rsid w:val="00105974"/>
    <w:rsid w:val="001854EA"/>
    <w:rsid w:val="001E0208"/>
    <w:rsid w:val="002108EE"/>
    <w:rsid w:val="0029755C"/>
    <w:rsid w:val="00321E78"/>
    <w:rsid w:val="003F5E4C"/>
    <w:rsid w:val="00414289"/>
    <w:rsid w:val="00444564"/>
    <w:rsid w:val="0047378C"/>
    <w:rsid w:val="00564526"/>
    <w:rsid w:val="005C4B6A"/>
    <w:rsid w:val="0060750A"/>
    <w:rsid w:val="00616FEB"/>
    <w:rsid w:val="00644326"/>
    <w:rsid w:val="00660123"/>
    <w:rsid w:val="00687E31"/>
    <w:rsid w:val="006A24F1"/>
    <w:rsid w:val="006C02F1"/>
    <w:rsid w:val="007420F8"/>
    <w:rsid w:val="007C6DE3"/>
    <w:rsid w:val="00831832"/>
    <w:rsid w:val="008925E7"/>
    <w:rsid w:val="008E5F8E"/>
    <w:rsid w:val="009B09B8"/>
    <w:rsid w:val="009F046D"/>
    <w:rsid w:val="00A04216"/>
    <w:rsid w:val="00A46970"/>
    <w:rsid w:val="00B84906"/>
    <w:rsid w:val="00C412CB"/>
    <w:rsid w:val="00C97912"/>
    <w:rsid w:val="00CD30EC"/>
    <w:rsid w:val="00CE4820"/>
    <w:rsid w:val="00D43EA1"/>
    <w:rsid w:val="00D82F5B"/>
    <w:rsid w:val="00DC5825"/>
    <w:rsid w:val="00E12969"/>
    <w:rsid w:val="00E31F05"/>
    <w:rsid w:val="00EC68B9"/>
    <w:rsid w:val="00ED76F5"/>
    <w:rsid w:val="00EE4B95"/>
    <w:rsid w:val="00EF310F"/>
    <w:rsid w:val="00F859C5"/>
    <w:rsid w:val="06392CFB"/>
    <w:rsid w:val="10CA6D42"/>
    <w:rsid w:val="11E6344A"/>
    <w:rsid w:val="12E17731"/>
    <w:rsid w:val="131F5937"/>
    <w:rsid w:val="164864D5"/>
    <w:rsid w:val="16BA7F06"/>
    <w:rsid w:val="179814B0"/>
    <w:rsid w:val="1E057C50"/>
    <w:rsid w:val="1F894534"/>
    <w:rsid w:val="206F3FEA"/>
    <w:rsid w:val="234F0052"/>
    <w:rsid w:val="24FB2493"/>
    <w:rsid w:val="253C6648"/>
    <w:rsid w:val="2C850242"/>
    <w:rsid w:val="33C37FE0"/>
    <w:rsid w:val="35DC598D"/>
    <w:rsid w:val="361D0295"/>
    <w:rsid w:val="369B2CA5"/>
    <w:rsid w:val="37DE28D1"/>
    <w:rsid w:val="397D70A5"/>
    <w:rsid w:val="407E7ABF"/>
    <w:rsid w:val="41A64CB6"/>
    <w:rsid w:val="4265242D"/>
    <w:rsid w:val="46FD24D0"/>
    <w:rsid w:val="4B402DD1"/>
    <w:rsid w:val="4CB24D1B"/>
    <w:rsid w:val="4E287FFA"/>
    <w:rsid w:val="559C44C3"/>
    <w:rsid w:val="56DE5575"/>
    <w:rsid w:val="5D08474D"/>
    <w:rsid w:val="60EC10F7"/>
    <w:rsid w:val="623C12A9"/>
    <w:rsid w:val="659941E5"/>
    <w:rsid w:val="66233278"/>
    <w:rsid w:val="66B27F24"/>
    <w:rsid w:val="68AD350A"/>
    <w:rsid w:val="6E19533E"/>
    <w:rsid w:val="6FB42FA6"/>
    <w:rsid w:val="77862792"/>
    <w:rsid w:val="7D5F40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page number" w:semiHidden="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rPr>
      <w:rFonts w:ascii="Times New Roman" w:hAnsi="Times New Roman" w:cs="Times New Roman"/>
      <w:sz w:val="24"/>
      <w:szCs w:val="24"/>
    </w:rPr>
  </w:style>
  <w:style w:type="character" w:styleId="a7">
    <w:name w:val="page number"/>
    <w:basedOn w:val="a0"/>
    <w:uiPriority w:val="99"/>
    <w:qFormat/>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6</Pages>
  <Words>359</Words>
  <Characters>2048</Characters>
  <Application>Microsoft Office Word</Application>
  <DocSecurity>0</DocSecurity>
  <Lines>17</Lines>
  <Paragraphs>4</Paragraphs>
  <ScaleCrop>false</ScaleCrop>
  <Company>HP Inc.</Company>
  <LinksUpToDate>false</LinksUpToDate>
  <CharactersWithSpaces>2403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21</cp:revision>
  <cp:lastPrinted>2021-01-06T03:03:00Z</cp:lastPrinted>
  <dcterms:created xsi:type="dcterms:W3CDTF">2019-12-20T01:52:00Z</dcterms:created>
  <dcterms:modified xsi:type="dcterms:W3CDTF">2022-01-12T02:06:00Z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B14738C0EA724988891F742514EC297F</vt:lpwstr>
  </property>
</Properties>
</file>