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ind w:firstLine="883"/>
        <w:jc w:val="both"/>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慈溪市气象发展“十四五”规划</w:t>
      </w:r>
    </w:p>
    <w:p>
      <w:pPr>
        <w:pStyle w:val="2"/>
        <w:ind w:firstLine="520" w:firstLineChars="162"/>
        <w:rPr>
          <w:rFonts w:hint="eastAsia" w:ascii="黑体" w:hAnsi="黑体" w:eastAsia="黑体" w:cs="黑体"/>
          <w:b/>
          <w:color w:val="000000" w:themeColor="text1"/>
          <w:sz w:val="32"/>
          <w:szCs w:val="32"/>
          <w14:textFill>
            <w14:solidFill>
              <w14:schemeClr w14:val="tx1"/>
            </w14:solidFill>
          </w14:textFill>
        </w:rPr>
      </w:pPr>
      <w:bookmarkStart w:id="0" w:name="_Toc75160686"/>
      <w:r>
        <w:rPr>
          <w:rFonts w:hint="eastAsia" w:ascii="黑体" w:hAnsi="黑体" w:eastAsia="黑体" w:cs="黑体"/>
          <w:b/>
          <w:color w:val="000000" w:themeColor="text1"/>
          <w:sz w:val="32"/>
          <w:szCs w:val="32"/>
          <w14:textFill>
            <w14:solidFill>
              <w14:schemeClr w14:val="tx1"/>
            </w14:solidFill>
          </w14:textFill>
        </w:rPr>
        <w:t>一、发展背景</w:t>
      </w:r>
      <w:bookmarkEnd w:id="0"/>
    </w:p>
    <w:p>
      <w:pPr>
        <w:pStyle w:val="3"/>
        <w:ind w:firstLine="452"/>
        <w:rPr>
          <w:rFonts w:hint="eastAsia" w:ascii="华文楷体" w:hAnsi="华文楷体" w:eastAsia="华文楷体" w:cs="华文楷体"/>
          <w:color w:val="000000" w:themeColor="text1"/>
          <w14:textFill>
            <w14:solidFill>
              <w14:schemeClr w14:val="tx1"/>
            </w14:solidFill>
          </w14:textFill>
        </w:rPr>
      </w:pPr>
      <w:bookmarkStart w:id="1" w:name="_Toc75160687"/>
      <w:r>
        <w:rPr>
          <w:rFonts w:hint="eastAsia" w:ascii="华文楷体" w:hAnsi="华文楷体" w:eastAsia="华文楷体" w:cs="华文楷体"/>
          <w:color w:val="000000" w:themeColor="text1"/>
          <w14:textFill>
            <w14:solidFill>
              <w14:schemeClr w14:val="tx1"/>
            </w14:solidFill>
          </w14:textFill>
        </w:rPr>
        <w:t>（一）“十三五”主要成就</w:t>
      </w:r>
      <w:bookmarkEnd w:id="1"/>
    </w:p>
    <w:p>
      <w:pPr>
        <w:ind w:firstLine="560"/>
        <w:rPr>
          <w:rFonts w:ascii="仿宋_GB2312" w:cs="Times New Roman"/>
          <w:color w:val="000000" w:themeColor="text1"/>
          <w:sz w:val="28"/>
          <w:szCs w:val="28"/>
          <w14:textFill>
            <w14:solidFill>
              <w14:schemeClr w14:val="tx1"/>
            </w14:solidFill>
          </w14:textFill>
        </w:rPr>
      </w:pPr>
      <w:r>
        <w:rPr>
          <w:rFonts w:hint="eastAsia" w:ascii="仿宋_GB2312" w:cs="Times New Roman"/>
          <w:color w:val="000000" w:themeColor="text1"/>
          <w:sz w:val="28"/>
          <w:szCs w:val="28"/>
          <w14:textFill>
            <w14:solidFill>
              <w14:schemeClr w14:val="tx1"/>
            </w14:solidFill>
          </w14:textFill>
        </w:rPr>
        <w:t>“十三五”时期，以党的十九大</w:t>
      </w:r>
      <w:r>
        <w:rPr>
          <w:rFonts w:hint="eastAsia" w:ascii="仿宋_GB2312" w:cs="Times New Roman"/>
          <w:color w:val="000000" w:themeColor="text1"/>
          <w:sz w:val="28"/>
          <w:szCs w:val="28"/>
          <w:lang w:eastAsia="zh-CN"/>
          <w14:textFill>
            <w14:solidFill>
              <w14:schemeClr w14:val="tx1"/>
            </w14:solidFill>
          </w14:textFill>
        </w:rPr>
        <w:t>会议</w:t>
      </w:r>
      <w:r>
        <w:rPr>
          <w:rFonts w:hint="eastAsia" w:ascii="仿宋_GB2312" w:cs="Times New Roman"/>
          <w:color w:val="000000" w:themeColor="text1"/>
          <w:sz w:val="28"/>
          <w:szCs w:val="28"/>
          <w14:textFill>
            <w14:solidFill>
              <w14:schemeClr w14:val="tx1"/>
            </w14:solidFill>
          </w14:textFill>
        </w:rPr>
        <w:t>精神和习近平新时代中国特色社会主义思想为指导，坚定不移地贯彻执行慈溪市委市政府、中国气象局、浙江省气象局和宁波市气象局决策部署，加快推进气象现代化建设，为慈溪经济社会发展做出了积极贡献。</w:t>
      </w:r>
    </w:p>
    <w:p>
      <w:pPr>
        <w:ind w:firstLine="602"/>
        <w:rPr>
          <w:rFonts w:ascii="仿宋_GB2312" w:cs="Times New Roman"/>
          <w:b/>
          <w:szCs w:val="30"/>
        </w:rPr>
      </w:pPr>
      <w:r>
        <w:rPr>
          <w:rFonts w:hint="eastAsia" w:ascii="仿宋_GB2312" w:cs="Times New Roman"/>
          <w:b/>
          <w:szCs w:val="30"/>
        </w:rPr>
        <w:t>1.防灾减灾体系不断完善，极端气候事件积极应对</w:t>
      </w:r>
    </w:p>
    <w:p>
      <w:pPr>
        <w:ind w:firstLine="560"/>
        <w:rPr>
          <w:rFonts w:ascii="仿宋_GB2312" w:cs="Times New Roman"/>
          <w:color w:val="000000" w:themeColor="text1"/>
          <w:sz w:val="28"/>
          <w:szCs w:val="28"/>
          <w14:textFill>
            <w14:solidFill>
              <w14:schemeClr w14:val="tx1"/>
            </w14:solidFill>
          </w14:textFill>
        </w:rPr>
      </w:pPr>
      <w:r>
        <w:rPr>
          <w:rFonts w:hint="eastAsia" w:ascii="仿宋_GB2312" w:cs="Times New Roman"/>
          <w:color w:val="000000" w:themeColor="text1"/>
          <w:sz w:val="28"/>
          <w:szCs w:val="28"/>
          <w14:textFill>
            <w14:solidFill>
              <w14:schemeClr w14:val="tx1"/>
            </w14:solidFill>
          </w14:textFill>
        </w:rPr>
        <w:t>基层气象防灾减灾职能和机构基本明确，气象工作纳入乡镇（街道）“三定”方案。</w:t>
      </w:r>
      <w:r>
        <w:rPr>
          <w:rFonts w:hint="eastAsia" w:ascii="仿宋_GB2312" w:cs="Times New Roman"/>
          <w:sz w:val="28"/>
          <w:szCs w:val="28"/>
        </w:rPr>
        <w:t>监测预警全覆盖县建设持续推进，累计建成全国标准化气象灾害防御乡镇2个、省级气象防灾减灾示范（标准化）乡镇（街道）实现全覆盖、省级气象防灾减灾示范（标准化）村（社区）86个。在应对“莫兰蒂”、“温比亚”、“利奇马”等台风及高温、低温雨雪冰冻等极端气候事件过程中，气象部门全过程开展应急业务服务，</w:t>
      </w:r>
      <w:r>
        <w:rPr>
          <w:rFonts w:hint="eastAsia" w:ascii="仿宋_GB2312" w:cs="Times New Roman"/>
          <w:color w:val="000000" w:themeColor="text1"/>
          <w:sz w:val="28"/>
          <w:szCs w:val="28"/>
          <w14:textFill>
            <w14:solidFill>
              <w14:schemeClr w14:val="tx1"/>
            </w14:solidFill>
          </w14:textFill>
        </w:rPr>
        <w:t>为党政部门防灾减灾决策提供科技支撑，多次重大气象预报服务工作获得地方领导肯定。</w:t>
      </w:r>
    </w:p>
    <w:p>
      <w:pPr>
        <w:ind w:firstLine="602"/>
        <w:rPr>
          <w:rFonts w:ascii="仿宋_GB2312" w:cs="Times New Roman"/>
          <w:b/>
          <w:color w:val="000000" w:themeColor="text1"/>
          <w:szCs w:val="30"/>
          <w14:textFill>
            <w14:solidFill>
              <w14:schemeClr w14:val="tx1"/>
            </w14:solidFill>
          </w14:textFill>
        </w:rPr>
      </w:pPr>
      <w:r>
        <w:rPr>
          <w:rFonts w:hint="eastAsia" w:ascii="仿宋_GB2312" w:cs="Times New Roman"/>
          <w:b/>
          <w:color w:val="000000" w:themeColor="text1"/>
          <w:szCs w:val="30"/>
          <w14:textFill>
            <w14:solidFill>
              <w14:schemeClr w14:val="tx1"/>
            </w14:solidFill>
          </w14:textFill>
        </w:rPr>
        <w:t>2.监测站网体系持续优化，预报预警能力稳步提升</w:t>
      </w:r>
    </w:p>
    <w:p>
      <w:pPr>
        <w:ind w:firstLine="560"/>
        <w:rPr>
          <w:rFonts w:hint="eastAsia" w:ascii="仿宋_GB2312" w:cs="Times New Roman"/>
          <w:sz w:val="28"/>
          <w:szCs w:val="28"/>
        </w:rPr>
      </w:pPr>
      <w:r>
        <w:rPr>
          <w:rFonts w:hint="eastAsia" w:ascii="仿宋_GB2312" w:cs="Times New Roman"/>
          <w:sz w:val="28"/>
          <w:szCs w:val="28"/>
        </w:rPr>
        <w:t>气象观测系统进一步优化，地面气象观测全面实现自动化、风廓线雷达和大气成分观测设备等一批气象设备投入使用，全市自动站密度小于5.7公里。气象预报预测能力进一步提升，突发气象灾害预警提前时间突破30分钟，24小时晴雨预报准确率达到83.5%，24小时气温预报准确率达到77.0%。</w:t>
      </w:r>
    </w:p>
    <w:p>
      <w:pPr>
        <w:pStyle w:val="7"/>
        <w:tabs>
          <w:tab w:val="left" w:pos="8460"/>
        </w:tabs>
        <w:autoSpaceDE/>
        <w:autoSpaceDN/>
        <w:snapToGrid w:val="0"/>
        <w:spacing w:line="560" w:lineRule="exact"/>
        <w:ind w:right="-210" w:rightChars="-70" w:firstLine="602"/>
        <w:rPr>
          <w:rFonts w:hAnsi="Times New Roman"/>
          <w:b/>
          <w:color w:val="000000"/>
          <w:sz w:val="30"/>
          <w:szCs w:val="30"/>
        </w:rPr>
      </w:pPr>
      <w:r>
        <w:rPr>
          <w:rFonts w:hint="eastAsia" w:hAnsi="Times New Roman"/>
          <w:b/>
          <w:color w:val="000000"/>
          <w:sz w:val="30"/>
          <w:szCs w:val="30"/>
        </w:rPr>
        <w:t>3.公共气象服务能力增强、效益明显</w:t>
      </w:r>
    </w:p>
    <w:p>
      <w:pPr>
        <w:pStyle w:val="7"/>
        <w:tabs>
          <w:tab w:val="left" w:pos="8460"/>
        </w:tabs>
        <w:autoSpaceDE/>
        <w:autoSpaceDN/>
        <w:snapToGrid w:val="0"/>
        <w:spacing w:line="560" w:lineRule="exact"/>
        <w:ind w:right="-210" w:rightChars="-70" w:firstLine="560"/>
        <w:rPr>
          <w:rFonts w:ascii="Times New Roman" w:hAnsi="Times New Roman"/>
          <w:sz w:val="28"/>
          <w:szCs w:val="28"/>
        </w:rPr>
      </w:pPr>
      <w:r>
        <w:rPr>
          <w:rFonts w:hint="eastAsia" w:ascii="Times New Roman" w:hAnsi="Times New Roman"/>
          <w:sz w:val="28"/>
          <w:szCs w:val="28"/>
        </w:rPr>
        <w:t>集中精力做好以“慈溪气象”微信公众号为代表的新媒体推广活动，不断扩大服务覆盖面，目前微信公众号关注人数已稳定在6万人以上。坚持需求引领，不断丰富公共气象服务产品，开设“气象菜篮子”、“语你说天气”、“农业气象”等特色栏目。同时利用微博、抖音等新媒体，使气象信息、气象灾害预警信号和传播气象知识等方面的影响力在不断扩大。每年的“3.23世界气象日”、“5.12防灾减灾日”以及安全生产月等固定时间，与应急、科协、文明办等多部门合作，开展线上与线下科普活动。与慈溪科技馆合作，成功创建首批全国气象科普基地；联合庵东镇西二小学成功创建第五批浙江省校园气象科普教育基地。积极优化内部资源，构建了以气象台、气象观测站以及气象影视中心组成的气象科普阵地，每月设置2个固定科普接待日；此外，科普讲师团成员会前往各大校园、社区和乡镇开展科普讲座课堂，最大程度上拓宽气象科普覆盖面，公众气象防灾减灾意识不断提升。</w:t>
      </w:r>
    </w:p>
    <w:p>
      <w:pPr>
        <w:pStyle w:val="7"/>
        <w:tabs>
          <w:tab w:val="left" w:pos="8460"/>
        </w:tabs>
        <w:autoSpaceDE/>
        <w:autoSpaceDN/>
        <w:snapToGrid w:val="0"/>
        <w:spacing w:line="560" w:lineRule="exact"/>
        <w:ind w:right="-210" w:rightChars="-70" w:firstLine="602"/>
        <w:rPr>
          <w:rFonts w:hAnsi="Times New Roman"/>
          <w:b/>
          <w:color w:val="000000"/>
          <w:sz w:val="30"/>
          <w:szCs w:val="30"/>
        </w:rPr>
      </w:pPr>
      <w:r>
        <w:rPr>
          <w:rFonts w:hint="eastAsia" w:hAnsi="Times New Roman"/>
          <w:b/>
          <w:color w:val="000000"/>
          <w:sz w:val="30"/>
          <w:szCs w:val="30"/>
        </w:rPr>
        <w:t>4.为农气象服务领域进一步拓展</w:t>
      </w:r>
    </w:p>
    <w:p>
      <w:pPr>
        <w:spacing w:line="360" w:lineRule="auto"/>
        <w:ind w:firstLine="560"/>
        <w:rPr>
          <w:sz w:val="28"/>
          <w:szCs w:val="28"/>
        </w:rPr>
      </w:pPr>
      <w:r>
        <w:rPr>
          <w:sz w:val="28"/>
          <w:szCs w:val="28"/>
        </w:rPr>
        <w:t>始终坚持需求牵引、服务引领，</w:t>
      </w:r>
      <w:r>
        <w:rPr>
          <w:rFonts w:hint="eastAsia"/>
          <w:sz w:val="28"/>
          <w:szCs w:val="28"/>
        </w:rPr>
        <w:t>已</w:t>
      </w:r>
      <w:r>
        <w:rPr>
          <w:sz w:val="28"/>
          <w:szCs w:val="28"/>
        </w:rPr>
        <w:t>建立起了集农业气象观测、服务、产品研发、气象信息发布、适用技术推广为一体的现代农业气象服务体系。</w:t>
      </w:r>
      <w:r>
        <w:rPr>
          <w:rFonts w:hint="eastAsia"/>
          <w:sz w:val="28"/>
          <w:szCs w:val="28"/>
        </w:rPr>
        <w:t>气象为农服务的对象由原有的全市农业大户，拓展到现代农业企业和个体农户，涉及的品种也涵盖了草莓、西瓜、葡萄、火龙果等经济效益较高的大棚蔬果，以及小麦、水稻等陆地大宗作物，为慈溪农业的高质量发展贡献了气象力量。遇灾害性天气过程，事前及时预警，灾后及时调查走访</w:t>
      </w:r>
      <w:r>
        <w:rPr>
          <w:sz w:val="28"/>
          <w:szCs w:val="28"/>
        </w:rPr>
        <w:t>，</w:t>
      </w:r>
      <w:r>
        <w:rPr>
          <w:rFonts w:hint="eastAsia"/>
          <w:sz w:val="28"/>
          <w:szCs w:val="28"/>
        </w:rPr>
        <w:t>随着精细化、针对性的为农服务不断深化，为</w:t>
      </w:r>
      <w:r>
        <w:rPr>
          <w:rFonts w:hint="eastAsia" w:ascii="宋体"/>
          <w:sz w:val="28"/>
          <w:szCs w:val="28"/>
        </w:rPr>
        <w:t>农业减灾增效的效益也逐渐凸显。</w:t>
      </w:r>
    </w:p>
    <w:p>
      <w:pPr>
        <w:pStyle w:val="7"/>
        <w:tabs>
          <w:tab w:val="left" w:pos="8460"/>
        </w:tabs>
        <w:autoSpaceDE/>
        <w:autoSpaceDN/>
        <w:snapToGrid w:val="0"/>
        <w:spacing w:line="560" w:lineRule="exact"/>
        <w:ind w:right="-210" w:rightChars="-70" w:firstLine="602"/>
        <w:rPr>
          <w:rFonts w:hAnsi="Times New Roman"/>
          <w:b/>
          <w:color w:val="000000"/>
          <w:sz w:val="30"/>
          <w:szCs w:val="30"/>
        </w:rPr>
      </w:pPr>
      <w:r>
        <w:rPr>
          <w:rFonts w:hint="eastAsia" w:hAnsi="Times New Roman"/>
          <w:b/>
          <w:color w:val="000000"/>
          <w:sz w:val="30"/>
          <w:szCs w:val="30"/>
        </w:rPr>
        <w:t>5.科研创新氛围正在形成，人才队伍得到加强</w:t>
      </w:r>
    </w:p>
    <w:p>
      <w:pPr>
        <w:ind w:firstLine="560"/>
        <w:rPr>
          <w:rFonts w:ascii="仿宋_GB2312" w:cs="Times New Roman"/>
          <w:color w:val="000000" w:themeColor="text1"/>
          <w:sz w:val="28"/>
          <w:szCs w:val="28"/>
          <w14:textFill>
            <w14:solidFill>
              <w14:schemeClr w14:val="tx1"/>
            </w14:solidFill>
          </w14:textFill>
        </w:rPr>
      </w:pPr>
      <w:r>
        <w:rPr>
          <w:rFonts w:hint="eastAsia" w:ascii="仿宋_GB2312" w:cs="Times New Roman"/>
          <w:color w:val="000000" w:themeColor="text1"/>
          <w:sz w:val="28"/>
          <w:szCs w:val="28"/>
          <w14:textFill>
            <w14:solidFill>
              <w14:schemeClr w14:val="tx1"/>
            </w14:solidFill>
          </w14:textFill>
        </w:rPr>
        <w:t>“十三五”期间，累计新</w:t>
      </w:r>
      <w:r>
        <w:rPr>
          <w:rFonts w:hint="eastAsia" w:ascii="仿宋_GB2312" w:cs="Times New Roman"/>
          <w:sz w:val="28"/>
          <w:szCs w:val="28"/>
        </w:rPr>
        <w:t>增科研项目3个，发表论文9篇，其中核心期刊2篇。</w:t>
      </w:r>
      <w:r>
        <w:rPr>
          <w:rFonts w:hint="eastAsia" w:ascii="仿宋_GB2312" w:cs="Times New Roman"/>
          <w:color w:val="000000" w:themeColor="text1"/>
          <w:sz w:val="28"/>
          <w:szCs w:val="28"/>
          <w14:textFill>
            <w14:solidFill>
              <w14:schemeClr w14:val="tx1"/>
            </w14:solidFill>
          </w14:textFill>
        </w:rPr>
        <w:t>气象科技人才队伍得到加强，新增2名高级职称，新增职工3名，其中2名研究生学历。地方气象编制增加1个,</w:t>
      </w:r>
      <w:r>
        <w:rPr>
          <w:rFonts w:ascii="仿宋_GB2312" w:cs="Times New Roman"/>
          <w:color w:val="000000" w:themeColor="text1"/>
          <w:sz w:val="28"/>
          <w:szCs w:val="28"/>
          <w14:textFill>
            <w14:solidFill>
              <w14:schemeClr w14:val="tx1"/>
            </w14:solidFill>
          </w14:textFill>
        </w:rPr>
        <w:t>下属地方事业机构由公益二类转为公益一类</w:t>
      </w:r>
      <w:r>
        <w:rPr>
          <w:rFonts w:hint="eastAsia" w:ascii="仿宋_GB2312" w:cs="Times New Roman"/>
          <w:color w:val="000000" w:themeColor="text1"/>
          <w:sz w:val="28"/>
          <w:szCs w:val="28"/>
          <w14:textFill>
            <w14:solidFill>
              <w14:schemeClr w14:val="tx1"/>
            </w14:solidFill>
          </w14:textFill>
        </w:rPr>
        <w:t>。</w:t>
      </w:r>
    </w:p>
    <w:p>
      <w:pPr>
        <w:pStyle w:val="3"/>
        <w:ind w:firstLine="452"/>
        <w:rPr>
          <w:rFonts w:hint="eastAsia" w:ascii="华文楷体" w:hAnsi="华文楷体" w:eastAsia="华文楷体" w:cs="华文楷体"/>
          <w:color w:val="000000" w:themeColor="text1"/>
          <w14:textFill>
            <w14:solidFill>
              <w14:schemeClr w14:val="tx1"/>
            </w14:solidFill>
          </w14:textFill>
        </w:rPr>
      </w:pPr>
      <w:bookmarkStart w:id="2" w:name="_Toc75160688"/>
      <w:r>
        <w:rPr>
          <w:rFonts w:hint="eastAsia" w:ascii="华文楷体" w:hAnsi="华文楷体" w:eastAsia="华文楷体" w:cs="华文楷体"/>
          <w:color w:val="000000" w:themeColor="text1"/>
          <w14:textFill>
            <w14:solidFill>
              <w14:schemeClr w14:val="tx1"/>
            </w14:solidFill>
          </w14:textFill>
        </w:rPr>
        <w:t>（二）存在不足</w:t>
      </w:r>
      <w:bookmarkEnd w:id="2"/>
    </w:p>
    <w:p>
      <w:pPr>
        <w:ind w:firstLine="560"/>
        <w:rPr>
          <w:rFonts w:ascii="仿宋_GB2312" w:cs="Times New Roman"/>
          <w:color w:val="000000" w:themeColor="text1"/>
          <w:sz w:val="28"/>
          <w:szCs w:val="28"/>
          <w14:textFill>
            <w14:solidFill>
              <w14:schemeClr w14:val="tx1"/>
            </w14:solidFill>
          </w14:textFill>
        </w:rPr>
      </w:pPr>
      <w:r>
        <w:rPr>
          <w:rFonts w:hint="eastAsia" w:ascii="仿宋_GB2312" w:cs="Times New Roman"/>
          <w:color w:val="000000" w:themeColor="text1"/>
          <w:sz w:val="28"/>
          <w:szCs w:val="28"/>
          <w14:textFill>
            <w14:solidFill>
              <w14:schemeClr w14:val="tx1"/>
            </w14:solidFill>
          </w14:textFill>
        </w:rPr>
        <w:t>当前全市气象事业发展水平与我市经济建设、社会发展、防灾减灾以及人民美好生活的需求仍存在差距，主要表现在：</w:t>
      </w:r>
    </w:p>
    <w:p>
      <w:pPr>
        <w:ind w:firstLine="562"/>
        <w:rPr>
          <w:rFonts w:ascii="仿宋_GB2312" w:cs="Times New Roman"/>
          <w:color w:val="000000" w:themeColor="text1"/>
          <w:sz w:val="28"/>
          <w:szCs w:val="28"/>
          <w14:textFill>
            <w14:solidFill>
              <w14:schemeClr w14:val="tx1"/>
            </w14:solidFill>
          </w14:textFill>
        </w:rPr>
      </w:pPr>
      <w:r>
        <w:rPr>
          <w:rFonts w:hint="eastAsia" w:ascii="仿宋_GB2312" w:cs="Times New Roman"/>
          <w:b/>
          <w:color w:val="000000" w:themeColor="text1"/>
          <w:sz w:val="28"/>
          <w:szCs w:val="28"/>
          <w14:textFill>
            <w14:solidFill>
              <w14:schemeClr w14:val="tx1"/>
            </w14:solidFill>
          </w14:textFill>
        </w:rPr>
        <w:t>气象监测预警能力仍显不足。</w:t>
      </w:r>
      <w:r>
        <w:rPr>
          <w:rFonts w:hint="eastAsia" w:ascii="仿宋_GB2312" w:cs="Times New Roman"/>
          <w:color w:val="000000" w:themeColor="text1"/>
          <w:sz w:val="28"/>
          <w:szCs w:val="28"/>
          <w14:textFill>
            <w14:solidFill>
              <w14:schemeClr w14:val="tx1"/>
            </w14:solidFill>
          </w14:textFill>
        </w:rPr>
        <w:t>气象灾害监测时空分辨率有待提高，预报精度、时效仍存在不足；气象防灾减灾救灾各部门间信息共享、应急联动机制仍需完善，预警信息发布渠道的“最后一公里”仍存在漏洞，人民群众气象灾害风险防范意识仍需增强。</w:t>
      </w:r>
    </w:p>
    <w:p>
      <w:pPr>
        <w:ind w:firstLine="562"/>
        <w:rPr>
          <w:rFonts w:ascii="仿宋_GB2312" w:cs="Times New Roman"/>
          <w:color w:val="000000" w:themeColor="text1"/>
          <w:sz w:val="28"/>
          <w:szCs w:val="28"/>
          <w14:textFill>
            <w14:solidFill>
              <w14:schemeClr w14:val="tx1"/>
            </w14:solidFill>
          </w14:textFill>
        </w:rPr>
      </w:pPr>
      <w:r>
        <w:rPr>
          <w:rFonts w:hint="eastAsia" w:ascii="仿宋_GB2312" w:cs="Times New Roman"/>
          <w:b/>
          <w:color w:val="000000" w:themeColor="text1"/>
          <w:sz w:val="28"/>
          <w:szCs w:val="28"/>
          <w14:textFill>
            <w14:solidFill>
              <w14:schemeClr w14:val="tx1"/>
            </w14:solidFill>
          </w14:textFill>
        </w:rPr>
        <w:t>气象服务与智能智慧融合仍需深化。</w:t>
      </w:r>
      <w:r>
        <w:rPr>
          <w:rFonts w:hint="eastAsia" w:ascii="仿宋_GB2312" w:cs="Times New Roman"/>
          <w:color w:val="000000" w:themeColor="text1"/>
          <w:sz w:val="28"/>
          <w:szCs w:val="28"/>
          <w14:textFill>
            <w14:solidFill>
              <w14:schemeClr w14:val="tx1"/>
            </w14:solidFill>
          </w14:textFill>
        </w:rPr>
        <w:t>目前，慈溪市公共气象服务仍主要停留在“统一制作、单向推送”的传统阶段，难以适应公众精细化、个性化服务的需求，全市距离“智能感知、精准泛在、情景互动、普惠共享”的智慧气象服务仍有较大的差距。</w:t>
      </w:r>
    </w:p>
    <w:p>
      <w:pPr>
        <w:ind w:firstLine="562"/>
        <w:rPr>
          <w:rFonts w:ascii="仿宋_GB2312" w:cs="Times New Roman"/>
          <w:color w:val="000000" w:themeColor="text1"/>
          <w:sz w:val="28"/>
          <w:szCs w:val="28"/>
          <w14:textFill>
            <w14:solidFill>
              <w14:schemeClr w14:val="tx1"/>
            </w14:solidFill>
          </w14:textFill>
        </w:rPr>
      </w:pPr>
      <w:r>
        <w:rPr>
          <w:rFonts w:hint="eastAsia" w:ascii="仿宋_GB2312" w:cs="Times New Roman"/>
          <w:b/>
          <w:color w:val="000000" w:themeColor="text1"/>
          <w:sz w:val="28"/>
          <w:szCs w:val="28"/>
          <w14:textFill>
            <w14:solidFill>
              <w14:schemeClr w14:val="tx1"/>
            </w14:solidFill>
          </w14:textFill>
        </w:rPr>
        <w:t>科技创新驱动气象发展动力仍需强化。</w:t>
      </w:r>
      <w:r>
        <w:rPr>
          <w:rFonts w:hint="eastAsia" w:ascii="仿宋_GB2312" w:cs="Times New Roman"/>
          <w:color w:val="000000" w:themeColor="text1"/>
          <w:sz w:val="28"/>
          <w:szCs w:val="28"/>
          <w14:textFill>
            <w14:solidFill>
              <w14:schemeClr w14:val="tx1"/>
            </w14:solidFill>
          </w14:textFill>
        </w:rPr>
        <w:t>与国内外一流基层气象台站相比，慈溪气象的业务科技水平仍存在一定差距，气象技术研究及本地化释用能力尚待加强。人才综合素质难以满足气象事业高质量发展需要，气象科技创新和人才体系建设投入力度仍需加大。</w:t>
      </w:r>
    </w:p>
    <w:p>
      <w:pPr>
        <w:ind w:firstLine="562"/>
        <w:rPr>
          <w:rFonts w:ascii="仿宋_GB2312" w:cs="Times New Roman"/>
          <w:color w:val="000000" w:themeColor="text1"/>
          <w:sz w:val="28"/>
          <w:szCs w:val="28"/>
          <w14:textFill>
            <w14:solidFill>
              <w14:schemeClr w14:val="tx1"/>
            </w14:solidFill>
          </w14:textFill>
        </w:rPr>
      </w:pPr>
      <w:r>
        <w:rPr>
          <w:rFonts w:hint="eastAsia" w:ascii="仿宋_GB2312" w:cs="Times New Roman"/>
          <w:b/>
          <w:color w:val="000000" w:themeColor="text1"/>
          <w:sz w:val="28"/>
          <w:szCs w:val="28"/>
          <w14:textFill>
            <w14:solidFill>
              <w14:schemeClr w14:val="tx1"/>
            </w14:solidFill>
          </w14:textFill>
        </w:rPr>
        <w:t>气象高质量发展体制机制仍需优化。</w:t>
      </w:r>
      <w:r>
        <w:rPr>
          <w:rFonts w:hint="eastAsia" w:ascii="仿宋_GB2312" w:cs="Times New Roman"/>
          <w:color w:val="000000" w:themeColor="text1"/>
          <w:sz w:val="28"/>
          <w:szCs w:val="28"/>
          <w14:textFill>
            <w14:solidFill>
              <w14:schemeClr w14:val="tx1"/>
            </w14:solidFill>
          </w14:textFill>
        </w:rPr>
        <w:t>气象发展方式已由规模速度型粗放发展向系统集成和成果应用并重的质量效率型集约发展转变，慈溪气象社会治理和综合发展体制机制也将需要进一步优化。依法发展气象事业的制度体系需要进一步完善，气象管理体制改革需要进一步深化。</w:t>
      </w:r>
    </w:p>
    <w:p>
      <w:pPr>
        <w:pStyle w:val="3"/>
        <w:ind w:firstLine="422"/>
        <w:rPr>
          <w:rFonts w:hint="eastAsia" w:ascii="华文楷体" w:hAnsi="华文楷体" w:eastAsia="华文楷体" w:cs="华文楷体"/>
          <w:color w:val="000000" w:themeColor="text1"/>
          <w:sz w:val="28"/>
          <w:szCs w:val="28"/>
          <w14:textFill>
            <w14:solidFill>
              <w14:schemeClr w14:val="tx1"/>
            </w14:solidFill>
          </w14:textFill>
        </w:rPr>
      </w:pPr>
      <w:bookmarkStart w:id="3" w:name="_Toc75160689"/>
      <w:r>
        <w:rPr>
          <w:rFonts w:hint="eastAsia" w:ascii="华文楷体" w:hAnsi="华文楷体" w:eastAsia="华文楷体" w:cs="华文楷体"/>
          <w:color w:val="000000" w:themeColor="text1"/>
          <w:sz w:val="28"/>
          <w:szCs w:val="28"/>
          <w14:textFill>
            <w14:solidFill>
              <w14:schemeClr w14:val="tx1"/>
            </w14:solidFill>
          </w14:textFill>
        </w:rPr>
        <w:t>（三）“十四五”面临形势</w:t>
      </w:r>
      <w:bookmarkEnd w:id="3"/>
    </w:p>
    <w:p>
      <w:pPr>
        <w:ind w:firstLine="560"/>
        <w:rPr>
          <w:rFonts w:ascii="仿宋_GB2312" w:cs="Times New Roman"/>
          <w:color w:val="000000" w:themeColor="text1"/>
          <w:sz w:val="28"/>
          <w:szCs w:val="28"/>
          <w14:textFill>
            <w14:solidFill>
              <w14:schemeClr w14:val="tx1"/>
            </w14:solidFill>
          </w14:textFill>
        </w:rPr>
      </w:pPr>
      <w:r>
        <w:rPr>
          <w:rFonts w:hint="eastAsia" w:ascii="仿宋_GB2312" w:cs="Times New Roman"/>
          <w:color w:val="000000" w:themeColor="text1"/>
          <w:sz w:val="28"/>
          <w:szCs w:val="28"/>
          <w14:textFill>
            <w14:solidFill>
              <w14:schemeClr w14:val="tx1"/>
            </w14:solidFill>
          </w14:textFill>
        </w:rPr>
        <w:t>“十四五”时期是我国</w:t>
      </w:r>
      <w:r>
        <w:rPr>
          <w:rFonts w:hint="eastAsia" w:ascii="仿宋_GB2312" w:cs="Times New Roman"/>
          <w:color w:val="000000" w:themeColor="text1"/>
          <w:sz w:val="28"/>
          <w:szCs w:val="28"/>
          <w:lang w:eastAsia="zh-CN"/>
          <w14:textFill>
            <w14:solidFill>
              <w14:schemeClr w14:val="tx1"/>
            </w14:solidFill>
          </w14:textFill>
        </w:rPr>
        <w:t>全面建成小康社会</w:t>
      </w:r>
      <w:r>
        <w:rPr>
          <w:rFonts w:hint="eastAsia" w:ascii="仿宋_GB2312" w:cs="Times New Roman"/>
          <w:color w:val="000000" w:themeColor="text1"/>
          <w:sz w:val="28"/>
          <w:szCs w:val="28"/>
          <w14:textFill>
            <w14:solidFill>
              <w14:schemeClr w14:val="tx1"/>
            </w14:solidFill>
          </w14:textFill>
        </w:rPr>
        <w:t>建设战略目标，向全面实现社会主义现代化迈进的关键时期，是开启向更高水平气象现代化新征程的重要机遇期；也是慈溪迎来“高铁时代”“前湾时代”“长三角一体化时代”等战略机遇，处于高速增长阶段向高质量发展阶段转变、县域经济加快向城市经济转型、杭州湾畔交通末梢向长三角黄金节点城市嬗变的关键时期。气象事业作为保障经济社会发展和人民生命财产安全的重要支柱，未来一段时间的发展将呈现新的阶段性特征，面临新的历史使命和机遇。</w:t>
      </w:r>
    </w:p>
    <w:p>
      <w:pPr>
        <w:ind w:firstLine="562"/>
        <w:rPr>
          <w:rFonts w:ascii="仿宋_GB2312" w:cs="Times New Roman"/>
          <w:b/>
          <w:color w:val="000000" w:themeColor="text1"/>
          <w:sz w:val="28"/>
          <w:szCs w:val="28"/>
          <w14:textFill>
            <w14:solidFill>
              <w14:schemeClr w14:val="tx1"/>
            </w14:solidFill>
          </w14:textFill>
        </w:rPr>
      </w:pPr>
      <w:r>
        <w:rPr>
          <w:rFonts w:hint="eastAsia" w:ascii="仿宋_GB2312" w:cs="Times New Roman"/>
          <w:b/>
          <w:color w:val="000000" w:themeColor="text1"/>
          <w:sz w:val="28"/>
          <w:szCs w:val="28"/>
          <w14:textFill>
            <w14:solidFill>
              <w14:schemeClr w14:val="tx1"/>
            </w14:solidFill>
          </w14:textFill>
        </w:rPr>
        <w:t>1.全球气候变化对气象防灾减灾能力提出了更高要求</w:t>
      </w:r>
    </w:p>
    <w:p>
      <w:pPr>
        <w:ind w:firstLine="560"/>
        <w:rPr>
          <w:rFonts w:ascii="仿宋_GB2312" w:cs="Times New Roman"/>
          <w:color w:val="000000" w:themeColor="text1"/>
          <w:sz w:val="28"/>
          <w:szCs w:val="28"/>
          <w14:textFill>
            <w14:solidFill>
              <w14:schemeClr w14:val="tx1"/>
            </w14:solidFill>
          </w14:textFill>
        </w:rPr>
      </w:pPr>
      <w:r>
        <w:rPr>
          <w:rFonts w:hint="eastAsia" w:ascii="仿宋_GB2312" w:cs="Times New Roman"/>
          <w:color w:val="000000" w:themeColor="text1"/>
          <w:sz w:val="28"/>
          <w:szCs w:val="28"/>
          <w14:textFill>
            <w14:solidFill>
              <w14:schemeClr w14:val="tx1"/>
            </w14:solidFill>
          </w14:textFill>
        </w:rPr>
        <w:t>近年来，全球气候变化进一步加剧，极端天气气候事件日益严重。气象防灾减灾救灾工作事关人民群众生命财产安全，事关社会和谐稳定，得到国家高度重视。党的十九大指出，健全公共安全体系，提升防灾减灾救灾能力。《中共中央国务院关于推进防灾减灾救灾体制机制改革的意见》明确提出要坚持以人民为中心的发展思想，坚持以防为主、防抗救相结合，全面提升全社会抵御自然灾害的综合防范能力。在此基础上，中国气象局和浙江省人民政府将共同加强对浙江省气象工作的领导，共同推进高水平气象现代化和防灾减灾救灾“第一道防线”示范省建设。为此，慈溪需要进一步加大在气象防灾减灾救灾方面的投入，充分发挥气象监测预报预警在综合防灾减灾中的消息树作用和在灾害风险管理中的支撑作用，发挥气象服务在应急救援中的基础保障作用，发挥气象部门在突发事件预警发布中的综合枢纽作用，筑牢防灾减灾“第一道防线”。</w:t>
      </w:r>
    </w:p>
    <w:p>
      <w:pPr>
        <w:ind w:firstLine="562"/>
        <w:rPr>
          <w:rFonts w:ascii="仿宋_GB2312" w:cs="Times New Roman"/>
          <w:b/>
          <w:color w:val="000000" w:themeColor="text1"/>
          <w:sz w:val="28"/>
          <w:szCs w:val="28"/>
          <w14:textFill>
            <w14:solidFill>
              <w14:schemeClr w14:val="tx1"/>
            </w14:solidFill>
          </w14:textFill>
        </w:rPr>
      </w:pPr>
      <w:r>
        <w:rPr>
          <w:rFonts w:hint="eastAsia" w:ascii="仿宋_GB2312" w:cs="Times New Roman"/>
          <w:b/>
          <w:color w:val="000000" w:themeColor="text1"/>
          <w:sz w:val="28"/>
          <w:szCs w:val="28"/>
          <w14:textFill>
            <w14:solidFill>
              <w14:schemeClr w14:val="tx1"/>
            </w14:solidFill>
          </w14:textFill>
        </w:rPr>
        <w:t>2.慈溪经济社会高质量发展需求更为优质的气象服务</w:t>
      </w:r>
    </w:p>
    <w:p>
      <w:pPr>
        <w:ind w:firstLine="560"/>
        <w:rPr>
          <w:rFonts w:ascii="仿宋_GB2312" w:cs="Times New Roman"/>
          <w:color w:val="000000" w:themeColor="text1"/>
          <w:sz w:val="28"/>
          <w:szCs w:val="28"/>
          <w14:textFill>
            <w14:solidFill>
              <w14:schemeClr w14:val="tx1"/>
            </w14:solidFill>
          </w14:textFill>
        </w:rPr>
      </w:pPr>
      <w:r>
        <w:rPr>
          <w:rFonts w:hint="eastAsia" w:ascii="仿宋_GB2312" w:cs="Times New Roman"/>
          <w:color w:val="000000" w:themeColor="text1"/>
          <w:sz w:val="28"/>
          <w:szCs w:val="28"/>
          <w14:textFill>
            <w14:solidFill>
              <w14:schemeClr w14:val="tx1"/>
            </w14:solidFill>
          </w14:textFill>
        </w:rPr>
        <w:t>“十四五”时期，慈溪积极融入长三角区域一体化发展国家战略，率先基本实现现代化，建设长三角区域性中心城市目标。进一步发挥慈溪在长三角城市群中的区位优势、产业优势和体制机制优势。深化“平安慈溪”，“文明慈溪”,“健康慈溪”建设，</w:t>
      </w:r>
      <w:r>
        <w:rPr>
          <w:rFonts w:ascii="仿宋_GB2312" w:cs="Times New Roman"/>
          <w:color w:val="000000" w:themeColor="text1"/>
          <w:sz w:val="28"/>
          <w:szCs w:val="28"/>
          <w14:textFill>
            <w14:solidFill>
              <w14:schemeClr w14:val="tx1"/>
            </w14:solidFill>
          </w14:textFill>
        </w:rPr>
        <w:t>打造全国乡村全面振兴示范区</w:t>
      </w:r>
      <w:r>
        <w:rPr>
          <w:rFonts w:hint="eastAsia" w:ascii="仿宋_GB2312" w:cs="Times New Roman"/>
          <w:color w:val="000000" w:themeColor="text1"/>
          <w:sz w:val="28"/>
          <w:szCs w:val="28"/>
          <w14:textFill>
            <w14:solidFill>
              <w14:schemeClr w14:val="tx1"/>
            </w14:solidFill>
          </w14:textFill>
        </w:rPr>
        <w:t>，健全高效科学的自然灾害防治体系，提升气象服务能力和自然灾害防治能力。为充分发挥气象保障经济社会高质量发展职能，需要慈溪气象在现有公共气象服务供给模式下开展创新，满足细分行业对气象服务的专业性、针对性、定制化要求，同时在现有政府提供气象服务的基础上，积极培育气象服务市场，组织引导社会资源和力量发展气象事业，按照开放有序的原则，激发和释放气象服务社会化的活力。</w:t>
      </w:r>
    </w:p>
    <w:p>
      <w:pPr>
        <w:ind w:firstLine="562"/>
        <w:rPr>
          <w:rFonts w:ascii="仿宋_GB2312" w:cs="Times New Roman"/>
          <w:b/>
          <w:color w:val="000000" w:themeColor="text1"/>
          <w:sz w:val="28"/>
          <w:szCs w:val="28"/>
          <w14:textFill>
            <w14:solidFill>
              <w14:schemeClr w14:val="tx1"/>
            </w14:solidFill>
          </w14:textFill>
        </w:rPr>
      </w:pPr>
      <w:r>
        <w:rPr>
          <w:rFonts w:hint="eastAsia" w:ascii="仿宋_GB2312" w:cs="Times New Roman"/>
          <w:b/>
          <w:color w:val="000000" w:themeColor="text1"/>
          <w:sz w:val="28"/>
          <w:szCs w:val="28"/>
          <w14:textFill>
            <w14:solidFill>
              <w14:schemeClr w14:val="tx1"/>
            </w14:solidFill>
          </w14:textFill>
        </w:rPr>
        <w:t>3.新一轮产业科技变革为气象事业发展提供新方向</w:t>
      </w:r>
    </w:p>
    <w:p>
      <w:pPr>
        <w:ind w:firstLine="560"/>
        <w:rPr>
          <w:rFonts w:ascii="仿宋_GB2312" w:cs="Times New Roman"/>
          <w:color w:val="000000" w:themeColor="text1"/>
          <w:sz w:val="28"/>
          <w:szCs w:val="28"/>
          <w14:textFill>
            <w14:solidFill>
              <w14:schemeClr w14:val="tx1"/>
            </w14:solidFill>
          </w14:textFill>
        </w:rPr>
      </w:pPr>
      <w:r>
        <w:rPr>
          <w:rFonts w:hint="eastAsia" w:ascii="仿宋_GB2312" w:cs="Times New Roman"/>
          <w:color w:val="000000" w:themeColor="text1"/>
          <w:sz w:val="28"/>
          <w:szCs w:val="28"/>
          <w14:textFill>
            <w14:solidFill>
              <w14:schemeClr w14:val="tx1"/>
            </w14:solidFill>
          </w14:textFill>
        </w:rPr>
        <w:t>随着人工智能、云计算、5G等技术的成熟完善，信息技术将实现与气象业务的深度融合。人工智能的应用，将实现气象观测设备的全自动化、高智能化，大大提升观测数据的准确性，并推动气象服务向“按需生产、智能制作、精准推送”方向发展。依托云计算技术，数据密集型、任务密集型、计算密集型和时空密集型气象业务的计算需求将得到满足，气象数据的计算速度及准确率将获得明显提高。同时，慈溪正在推进5G商用工作，市域范围内的高密度5G基站能够成为气象信息采集、传输、交互点，使更多设备参与社会化观测，拓展气象数据收集面；借助万物互联及高速的信息传输，气象灾害预警信息发布、突发灾害事件多部门多单位联动、远程救助等，都会在时效上得到显著提升。</w:t>
      </w:r>
    </w:p>
    <w:p>
      <w:pPr>
        <w:ind w:firstLine="562"/>
        <w:rPr>
          <w:rFonts w:ascii="仿宋_GB2312" w:cs="Times New Roman"/>
          <w:b/>
          <w:sz w:val="28"/>
          <w:szCs w:val="28"/>
        </w:rPr>
      </w:pPr>
      <w:r>
        <w:rPr>
          <w:rFonts w:ascii="仿宋_GB2312" w:cs="Times New Roman"/>
          <w:b/>
          <w:sz w:val="28"/>
          <w:szCs w:val="28"/>
        </w:rPr>
        <w:t>4</w:t>
      </w:r>
      <w:r>
        <w:rPr>
          <w:rFonts w:hint="eastAsia" w:ascii="仿宋_GB2312" w:cs="Times New Roman"/>
          <w:b/>
          <w:sz w:val="28"/>
          <w:szCs w:val="28"/>
        </w:rPr>
        <w:t>.政府数字化改革推动气象体制机制步入新阶段</w:t>
      </w:r>
    </w:p>
    <w:p>
      <w:pPr>
        <w:ind w:firstLine="560"/>
        <w:rPr>
          <w:rFonts w:ascii="仿宋_GB2312" w:cs="Times New Roman"/>
          <w:sz w:val="28"/>
          <w:szCs w:val="28"/>
        </w:rPr>
      </w:pPr>
      <w:r>
        <w:rPr>
          <w:rFonts w:hint="eastAsia" w:ascii="仿宋_GB2312" w:cs="Times New Roman"/>
          <w:sz w:val="28"/>
          <w:szCs w:val="28"/>
        </w:rPr>
        <w:t>随着浙江省数字化改革的全面推进，以气象大数据云平台为“云”、气象业务系统为“端”的“云</w:t>
      </w:r>
      <w:r>
        <w:rPr>
          <w:rFonts w:ascii="仿宋_GB2312" w:cs="Times New Roman"/>
          <w:sz w:val="28"/>
          <w:szCs w:val="28"/>
        </w:rPr>
        <w:t>+</w:t>
      </w:r>
      <w:r>
        <w:rPr>
          <w:rFonts w:hint="eastAsia" w:ascii="仿宋_GB2312" w:cs="Times New Roman"/>
          <w:sz w:val="28"/>
          <w:szCs w:val="28"/>
        </w:rPr>
        <w:t>端”的气象技术体制和以大数据为中心的统筹集约的新型气象业务体制已经</w:t>
      </w:r>
      <w:r>
        <w:rPr>
          <w:rFonts w:ascii="仿宋_GB2312" w:cs="Times New Roman"/>
          <w:sz w:val="28"/>
          <w:szCs w:val="28"/>
        </w:rPr>
        <w:t>基本</w:t>
      </w:r>
      <w:r>
        <w:rPr>
          <w:rFonts w:hint="eastAsia" w:ascii="仿宋_GB2312" w:cs="Times New Roman"/>
          <w:sz w:val="28"/>
          <w:szCs w:val="28"/>
        </w:rPr>
        <w:t>确立。在新的业务体制下，需要不断优化完善以自动化为基础的新型综合气象观测业务和数据采集业务，根据省级支撑、市级主导、市县一体的原则，进一步建立并完善县级气象装备保障业务体系。同时，需要进一步明确自身业务服务定位，健全上下衔接、以数据驱动的观测、预报和服务业务流程。</w:t>
      </w:r>
    </w:p>
    <w:p>
      <w:pPr>
        <w:pStyle w:val="2"/>
        <w:ind w:firstLine="643"/>
        <w:rPr>
          <w:rFonts w:hint="eastAsia" w:ascii="黑体" w:hAnsi="黑体" w:eastAsia="黑体" w:cs="黑体"/>
          <w:b w:val="0"/>
          <w:bCs w:val="0"/>
          <w:color w:val="000000" w:themeColor="text1"/>
          <w:sz w:val="32"/>
          <w:szCs w:val="32"/>
          <w14:textFill>
            <w14:solidFill>
              <w14:schemeClr w14:val="tx1"/>
            </w14:solidFill>
          </w14:textFill>
        </w:rPr>
      </w:pPr>
      <w:bookmarkStart w:id="4" w:name="_Toc75160690"/>
      <w:r>
        <w:rPr>
          <w:rFonts w:hint="eastAsia" w:ascii="黑体" w:hAnsi="黑体" w:eastAsia="黑体" w:cs="黑体"/>
          <w:b w:val="0"/>
          <w:bCs w:val="0"/>
          <w:color w:val="000000" w:themeColor="text1"/>
          <w:sz w:val="32"/>
          <w:szCs w:val="32"/>
          <w14:textFill>
            <w14:solidFill>
              <w14:schemeClr w14:val="tx1"/>
            </w14:solidFill>
          </w14:textFill>
        </w:rPr>
        <w:t>二、总体思路</w:t>
      </w:r>
      <w:bookmarkEnd w:id="4"/>
    </w:p>
    <w:p>
      <w:pPr>
        <w:pStyle w:val="3"/>
        <w:ind w:firstLine="422"/>
        <w:rPr>
          <w:rFonts w:hint="eastAsia" w:ascii="华文楷体" w:hAnsi="华文楷体" w:eastAsia="华文楷体" w:cs="华文楷体"/>
          <w:color w:val="000000" w:themeColor="text1"/>
          <w:sz w:val="28"/>
          <w:szCs w:val="28"/>
          <w14:textFill>
            <w14:solidFill>
              <w14:schemeClr w14:val="tx1"/>
            </w14:solidFill>
          </w14:textFill>
        </w:rPr>
      </w:pPr>
      <w:bookmarkStart w:id="5" w:name="_Toc75160691"/>
      <w:r>
        <w:rPr>
          <w:rFonts w:hint="eastAsia" w:ascii="华文楷体" w:hAnsi="华文楷体" w:eastAsia="华文楷体" w:cs="华文楷体"/>
          <w:color w:val="000000" w:themeColor="text1"/>
          <w:sz w:val="28"/>
          <w:szCs w:val="28"/>
          <w14:textFill>
            <w14:solidFill>
              <w14:schemeClr w14:val="tx1"/>
            </w14:solidFill>
          </w14:textFill>
        </w:rPr>
        <w:t>（一）指导思想</w:t>
      </w:r>
      <w:bookmarkEnd w:id="5"/>
    </w:p>
    <w:p>
      <w:pPr>
        <w:ind w:firstLine="560"/>
        <w:rPr>
          <w:rFonts w:ascii="仿宋_GB2312" w:cs="Times New Roman"/>
          <w:bCs/>
          <w:color w:val="000000" w:themeColor="text1"/>
          <w:sz w:val="28"/>
          <w:szCs w:val="28"/>
          <w14:textFill>
            <w14:solidFill>
              <w14:schemeClr w14:val="tx1"/>
            </w14:solidFill>
          </w14:textFill>
        </w:rPr>
      </w:pPr>
      <w:r>
        <w:rPr>
          <w:rFonts w:hint="eastAsia" w:ascii="仿宋_GB2312" w:cs="Times New Roman"/>
          <w:bCs/>
          <w:color w:val="000000" w:themeColor="text1"/>
          <w:sz w:val="28"/>
          <w:szCs w:val="28"/>
          <w14:textFill>
            <w14:solidFill>
              <w14:schemeClr w14:val="tx1"/>
            </w14:solidFill>
          </w14:textFill>
        </w:rPr>
        <w:t>以习近平新时代中国特色社会主义思想为指导，全面贯彻党的十九大和十九届二中、三中、四中、五中全会精神，围绕统筹推进“五位一体”总体布局和协调推进“四个全面”战略布局，紧扣“高质量”和“第一道防线”两个关键，明确气象工作关系生命安全、生产发展、生活富裕、生态良好的战略定位，聚焦监测精密、预报精准、服务精细的战略任务，将深化改革和科技创新作为发展动力，将气象服务供给侧结构性改革和核心技术突破等作为攻坚手段，提高重点领域气象服务能</w:t>
      </w:r>
      <w:r>
        <w:rPr>
          <w:rFonts w:hint="eastAsia" w:ascii="仿宋_GB2312" w:cs="Times New Roman"/>
          <w:bCs/>
          <w:sz w:val="28"/>
          <w:szCs w:val="28"/>
        </w:rPr>
        <w:t>级和精度，为建设创新活力之城美丽幸福慈溪，在“重要窗口”建设中走前列当标兵，贡献气象力量。</w:t>
      </w:r>
    </w:p>
    <w:p>
      <w:pPr>
        <w:pStyle w:val="3"/>
        <w:ind w:firstLine="422"/>
        <w:rPr>
          <w:rFonts w:hint="eastAsia" w:ascii="华文楷体" w:hAnsi="华文楷体" w:eastAsia="华文楷体" w:cs="华文楷体"/>
          <w:color w:val="000000" w:themeColor="text1"/>
          <w:sz w:val="28"/>
          <w:szCs w:val="28"/>
          <w14:textFill>
            <w14:solidFill>
              <w14:schemeClr w14:val="tx1"/>
            </w14:solidFill>
          </w14:textFill>
        </w:rPr>
      </w:pPr>
      <w:bookmarkStart w:id="6" w:name="_Toc75160692"/>
      <w:r>
        <w:rPr>
          <w:rFonts w:hint="eastAsia" w:ascii="华文楷体" w:hAnsi="华文楷体" w:eastAsia="华文楷体" w:cs="华文楷体"/>
          <w:color w:val="000000" w:themeColor="text1"/>
          <w:sz w:val="28"/>
          <w:szCs w:val="28"/>
          <w14:textFill>
            <w14:solidFill>
              <w14:schemeClr w14:val="tx1"/>
            </w14:solidFill>
          </w14:textFill>
        </w:rPr>
        <w:t>（二）基本原则</w:t>
      </w:r>
      <w:bookmarkEnd w:id="6"/>
    </w:p>
    <w:p>
      <w:pPr>
        <w:ind w:firstLine="562"/>
        <w:rPr>
          <w:rFonts w:ascii="仿宋_GB2312" w:cs="Times New Roman"/>
          <w:color w:val="000000" w:themeColor="text1"/>
          <w:sz w:val="28"/>
          <w:szCs w:val="28"/>
          <w14:textFill>
            <w14:solidFill>
              <w14:schemeClr w14:val="tx1"/>
            </w14:solidFill>
          </w14:textFill>
        </w:rPr>
      </w:pPr>
      <w:r>
        <w:rPr>
          <w:rFonts w:hint="eastAsia" w:ascii="仿宋_GB2312" w:hAnsi="楷体" w:cs="Times New Roman"/>
          <w:b/>
          <w:color w:val="000000" w:themeColor="text1"/>
          <w:sz w:val="28"/>
          <w:szCs w:val="28"/>
          <w14:textFill>
            <w14:solidFill>
              <w14:schemeClr w14:val="tx1"/>
            </w14:solidFill>
          </w14:textFill>
        </w:rPr>
        <w:t>坚持防线意识，强化防灾减灾。</w:t>
      </w:r>
      <w:r>
        <w:rPr>
          <w:rFonts w:hint="eastAsia" w:ascii="仿宋_GB2312" w:cs="Times New Roman"/>
          <w:color w:val="000000" w:themeColor="text1"/>
          <w:sz w:val="28"/>
          <w:szCs w:val="28"/>
          <w14:textFill>
            <w14:solidFill>
              <w14:schemeClr w14:val="tx1"/>
            </w14:solidFill>
          </w14:textFill>
        </w:rPr>
        <w:t>坚持气象工作是“防灾减灾第一道防线”的底线意识，充分发挥监测预报预警、风险评估和科普宣传等工作在减轻气象灾害风险中的作用，推动以气象防灾减灾为重心向趋利避害并举转变，提高气象防灾减灾救灾工作法治化、规范化、现代化水平。</w:t>
      </w:r>
    </w:p>
    <w:p>
      <w:pPr>
        <w:ind w:firstLine="562"/>
        <w:rPr>
          <w:rFonts w:ascii="仿宋_GB2312" w:cs="Times New Roman"/>
          <w:color w:val="000000" w:themeColor="text1"/>
          <w:sz w:val="28"/>
          <w:szCs w:val="28"/>
          <w14:textFill>
            <w14:solidFill>
              <w14:schemeClr w14:val="tx1"/>
            </w14:solidFill>
          </w14:textFill>
        </w:rPr>
      </w:pPr>
      <w:r>
        <w:rPr>
          <w:rFonts w:ascii="仿宋_GB2312" w:cs="Times New Roman"/>
          <w:b/>
          <w:color w:val="000000" w:themeColor="text1"/>
          <w:sz w:val="28"/>
          <w:szCs w:val="28"/>
          <w14:textFill>
            <w14:solidFill>
              <w14:schemeClr w14:val="tx1"/>
            </w14:solidFill>
          </w14:textFill>
        </w:rPr>
        <w:t>坚持以人为本</w:t>
      </w:r>
      <w:r>
        <w:rPr>
          <w:rFonts w:hint="eastAsia" w:ascii="仿宋_GB2312" w:cs="Times New Roman"/>
          <w:b/>
          <w:color w:val="000000" w:themeColor="text1"/>
          <w:sz w:val="28"/>
          <w:szCs w:val="28"/>
          <w14:textFill>
            <w14:solidFill>
              <w14:schemeClr w14:val="tx1"/>
            </w14:solidFill>
          </w14:textFill>
        </w:rPr>
        <w:t>，践行</w:t>
      </w:r>
      <w:r>
        <w:rPr>
          <w:rFonts w:ascii="仿宋_GB2312" w:cs="Times New Roman"/>
          <w:b/>
          <w:color w:val="000000" w:themeColor="text1"/>
          <w:sz w:val="28"/>
          <w:szCs w:val="28"/>
          <w14:textFill>
            <w14:solidFill>
              <w14:schemeClr w14:val="tx1"/>
            </w14:solidFill>
          </w14:textFill>
        </w:rPr>
        <w:t>服务至上</w:t>
      </w:r>
      <w:r>
        <w:rPr>
          <w:rFonts w:hint="eastAsia" w:ascii="仿宋_GB2312" w:cs="Times New Roman"/>
          <w:b/>
          <w:color w:val="000000" w:themeColor="text1"/>
          <w:sz w:val="28"/>
          <w:szCs w:val="28"/>
          <w14:textFill>
            <w14:solidFill>
              <w14:schemeClr w14:val="tx1"/>
            </w14:solidFill>
          </w14:textFill>
        </w:rPr>
        <w:t>。</w:t>
      </w:r>
      <w:r>
        <w:rPr>
          <w:rFonts w:ascii="仿宋_GB2312" w:cs="Times New Roman"/>
          <w:color w:val="000000" w:themeColor="text1"/>
          <w:sz w:val="28"/>
          <w:szCs w:val="28"/>
          <w14:textFill>
            <w14:solidFill>
              <w14:schemeClr w14:val="tx1"/>
            </w14:solidFill>
          </w14:textFill>
        </w:rPr>
        <w:t>坚持以人民为中心，面向民生、面向生产、面向决策，以服务经济社会发展、气象防灾减灾为重点，完善气象服务与联动机制的数字化改革升级，努力提升气象服务能力和水平，增强人民群众的获得感、幸福感、</w:t>
      </w:r>
      <w:r>
        <w:rPr>
          <w:rFonts w:hint="eastAsia" w:ascii="仿宋_GB2312" w:cs="Times New Roman"/>
          <w:color w:val="000000" w:themeColor="text1"/>
          <w:sz w:val="28"/>
          <w:szCs w:val="28"/>
          <w14:textFill>
            <w14:solidFill>
              <w14:schemeClr w14:val="tx1"/>
            </w14:solidFill>
          </w14:textFill>
        </w:rPr>
        <w:t>安全</w:t>
      </w:r>
      <w:r>
        <w:rPr>
          <w:rFonts w:ascii="仿宋_GB2312" w:cs="Times New Roman"/>
          <w:color w:val="000000" w:themeColor="text1"/>
          <w:sz w:val="28"/>
          <w:szCs w:val="28"/>
          <w14:textFill>
            <w14:solidFill>
              <w14:schemeClr w14:val="tx1"/>
            </w14:solidFill>
          </w14:textFill>
        </w:rPr>
        <w:t>感。</w:t>
      </w:r>
    </w:p>
    <w:p>
      <w:pPr>
        <w:ind w:firstLine="562"/>
        <w:rPr>
          <w:rFonts w:ascii="仿宋_GB2312" w:cs="Times New Roman"/>
          <w:color w:val="000000" w:themeColor="text1"/>
          <w:sz w:val="28"/>
          <w:szCs w:val="28"/>
          <w14:textFill>
            <w14:solidFill>
              <w14:schemeClr w14:val="tx1"/>
            </w14:solidFill>
          </w14:textFill>
        </w:rPr>
      </w:pPr>
      <w:r>
        <w:rPr>
          <w:rFonts w:hint="eastAsia" w:ascii="仿宋_GB2312" w:hAnsi="楷体" w:cs="Times New Roman"/>
          <w:b/>
          <w:color w:val="000000" w:themeColor="text1"/>
          <w:sz w:val="28"/>
          <w:szCs w:val="28"/>
          <w14:textFill>
            <w14:solidFill>
              <w14:schemeClr w14:val="tx1"/>
            </w14:solidFill>
          </w14:textFill>
        </w:rPr>
        <w:t>坚持创新驱动，推广智慧服务。</w:t>
      </w:r>
      <w:r>
        <w:rPr>
          <w:rFonts w:hint="eastAsia" w:ascii="仿宋_GB2312" w:cs="Times New Roman"/>
          <w:color w:val="000000" w:themeColor="text1"/>
          <w:sz w:val="28"/>
          <w:szCs w:val="28"/>
          <w14:textFill>
            <w14:solidFill>
              <w14:schemeClr w14:val="tx1"/>
            </w14:solidFill>
          </w14:textFill>
        </w:rPr>
        <w:t>把科技创新作为气象事业发展的重要动力源，聚焦5G、人工智能等新一代信息技术，不断增强公共气象服务智慧化水平，构建自动感知、智能制作、按需供给的智慧气象服务，不断提升气象核心竞争力和持续发展力。</w:t>
      </w:r>
    </w:p>
    <w:p>
      <w:pPr>
        <w:ind w:firstLine="562"/>
        <w:rPr>
          <w:rFonts w:ascii="仿宋_GB2312" w:cs="Times New Roman"/>
          <w:color w:val="000000" w:themeColor="text1"/>
          <w:sz w:val="28"/>
          <w:szCs w:val="28"/>
          <w14:textFill>
            <w14:solidFill>
              <w14:schemeClr w14:val="tx1"/>
            </w14:solidFill>
          </w14:textFill>
        </w:rPr>
      </w:pPr>
      <w:r>
        <w:rPr>
          <w:rFonts w:hint="eastAsia" w:ascii="仿宋_GB2312" w:hAnsi="楷体" w:cs="Times New Roman"/>
          <w:b/>
          <w:color w:val="000000" w:themeColor="text1"/>
          <w:sz w:val="28"/>
          <w:szCs w:val="28"/>
          <w14:textFill>
            <w14:solidFill>
              <w14:schemeClr w14:val="tx1"/>
            </w14:solidFill>
          </w14:textFill>
        </w:rPr>
        <w:t>坚持统筹共享，实现协同发展。</w:t>
      </w:r>
      <w:r>
        <w:rPr>
          <w:rFonts w:hint="eastAsia" w:ascii="仿宋_GB2312" w:cs="Times New Roman"/>
          <w:color w:val="000000" w:themeColor="text1"/>
          <w:sz w:val="28"/>
          <w:szCs w:val="28"/>
          <w14:textFill>
            <w14:solidFill>
              <w14:schemeClr w14:val="tx1"/>
            </w14:solidFill>
          </w14:textFill>
        </w:rPr>
        <w:t>充分发挥为农气象服务先发优势和有效做法，强化部门协同与兄弟县市局合作，合力推进气象基础设施、信息资源、科技成果、服务技术的共商、共建、共享和互联互通。</w:t>
      </w:r>
    </w:p>
    <w:p>
      <w:pPr>
        <w:ind w:firstLine="562"/>
        <w:rPr>
          <w:rFonts w:ascii="仿宋_GB2312" w:cs="Times New Roman"/>
          <w:color w:val="000000" w:themeColor="text1"/>
          <w:sz w:val="28"/>
          <w:szCs w:val="28"/>
          <w14:textFill>
            <w14:solidFill>
              <w14:schemeClr w14:val="tx1"/>
            </w14:solidFill>
          </w14:textFill>
        </w:rPr>
      </w:pPr>
      <w:r>
        <w:rPr>
          <w:rFonts w:hint="eastAsia" w:ascii="仿宋_GB2312" w:hAnsi="楷体" w:cs="Times New Roman"/>
          <w:b/>
          <w:color w:val="000000" w:themeColor="text1"/>
          <w:sz w:val="28"/>
          <w:szCs w:val="28"/>
          <w14:textFill>
            <w14:solidFill>
              <w14:schemeClr w14:val="tx1"/>
            </w14:solidFill>
          </w14:textFill>
        </w:rPr>
        <w:t>坚持法治建设，深化体制改革。</w:t>
      </w:r>
      <w:r>
        <w:rPr>
          <w:rFonts w:hint="eastAsia" w:ascii="仿宋_GB2312" w:cs="Times New Roman"/>
          <w:color w:val="000000" w:themeColor="text1"/>
          <w:sz w:val="28"/>
          <w:szCs w:val="28"/>
          <w14:textFill>
            <w14:solidFill>
              <w14:schemeClr w14:val="tx1"/>
            </w14:solidFill>
          </w14:textFill>
        </w:rPr>
        <w:t>牢固树立法治思维和依法推进气象事业发展理念，加强气象法规规章体系的落实与执行，提升依法管理气象事务的能力，并在气象重点领域和关键环节推动质量变革、动力变革、效率变革，形成气象高质量发展的体制机制。</w:t>
      </w:r>
    </w:p>
    <w:p>
      <w:pPr>
        <w:pStyle w:val="3"/>
        <w:ind w:firstLine="482"/>
        <w:rPr>
          <w:rFonts w:hint="eastAsia" w:ascii="华文楷体" w:hAnsi="华文楷体" w:eastAsia="华文楷体" w:cs="华文楷体"/>
          <w:color w:val="000000" w:themeColor="text1"/>
          <w:sz w:val="32"/>
          <w14:textFill>
            <w14:solidFill>
              <w14:schemeClr w14:val="tx1"/>
            </w14:solidFill>
          </w14:textFill>
        </w:rPr>
      </w:pPr>
      <w:bookmarkStart w:id="7" w:name="_Toc75160693"/>
      <w:r>
        <w:rPr>
          <w:rFonts w:hint="eastAsia" w:ascii="华文楷体" w:hAnsi="华文楷体" w:eastAsia="华文楷体" w:cs="华文楷体"/>
          <w:color w:val="000000" w:themeColor="text1"/>
          <w:sz w:val="32"/>
          <w14:textFill>
            <w14:solidFill>
              <w14:schemeClr w14:val="tx1"/>
            </w14:solidFill>
          </w14:textFill>
        </w:rPr>
        <w:t>（三）发展目标</w:t>
      </w:r>
      <w:bookmarkEnd w:id="7"/>
    </w:p>
    <w:p>
      <w:pPr>
        <w:ind w:firstLine="560"/>
        <w:rPr>
          <w:rFonts w:ascii="仿宋_GB2312" w:cs="Times New Roman"/>
          <w:sz w:val="28"/>
          <w:szCs w:val="28"/>
        </w:rPr>
      </w:pPr>
      <w:r>
        <w:rPr>
          <w:rFonts w:hint="eastAsia" w:ascii="仿宋_GB2312" w:cs="Times New Roman"/>
          <w:sz w:val="28"/>
          <w:szCs w:val="28"/>
        </w:rPr>
        <w:t>到2025年，建成适应需求、结构完善、功能先进、保障有力、以智慧气象为重要标志的现代气象业务体系、服务体系、科技创新体系和治理体系，切实提高气象灾害的监测预警和服务能力；全面推进互利合作、深度融合，共同发展人民更满意的公共气象、保障更有力的安全气象、气候更增利的资源气象和环境更美丽的生态气象；将我市气象事业打造成为基层气象高质量发展与智慧气象服务的示范窗口。为今后五年我市建设成为开放包容的长三角黄金节点城市、活力澎湃的浙江创新智造示范区、美丽幸福的宁波大都市北部中心，这一总体目标贡献气象力量。</w:t>
      </w:r>
    </w:p>
    <w:p>
      <w:pPr>
        <w:ind w:firstLine="560"/>
        <w:rPr>
          <w:rFonts w:ascii="仿宋_GB2312" w:cs="Times New Roman"/>
          <w:color w:val="000000" w:themeColor="text1"/>
          <w:sz w:val="28"/>
          <w:szCs w:val="28"/>
          <w14:textFill>
            <w14:solidFill>
              <w14:schemeClr w14:val="tx1"/>
            </w14:solidFill>
          </w14:textFill>
        </w:rPr>
      </w:pPr>
      <w:r>
        <w:rPr>
          <w:rFonts w:ascii="仿宋_GB2312" w:cs="Times New Roman"/>
          <w:color w:val="000000" w:themeColor="text1"/>
          <w:sz w:val="28"/>
          <w:szCs w:val="28"/>
          <w14:textFill>
            <w14:solidFill>
              <w14:schemeClr w14:val="tx1"/>
            </w14:solidFill>
          </w14:textFill>
        </w:rPr>
        <w:t>到</w:t>
      </w:r>
      <w:r>
        <w:rPr>
          <w:rFonts w:hint="eastAsia" w:ascii="仿宋_GB2312" w:cs="Times New Roman"/>
          <w:color w:val="000000" w:themeColor="text1"/>
          <w:sz w:val="28"/>
          <w:szCs w:val="28"/>
          <w14:textFill>
            <w14:solidFill>
              <w14:schemeClr w14:val="tx1"/>
            </w14:solidFill>
          </w14:textFill>
        </w:rPr>
        <w:t>2</w:t>
      </w:r>
      <w:r>
        <w:rPr>
          <w:rFonts w:ascii="仿宋_GB2312" w:cs="Times New Roman"/>
          <w:color w:val="000000" w:themeColor="text1"/>
          <w:sz w:val="28"/>
          <w:szCs w:val="28"/>
          <w14:textFill>
            <w14:solidFill>
              <w14:schemeClr w14:val="tx1"/>
            </w14:solidFill>
          </w14:textFill>
        </w:rPr>
        <w:t>035年</w:t>
      </w:r>
      <w:r>
        <w:rPr>
          <w:rFonts w:hint="eastAsia" w:ascii="仿宋_GB2312" w:cs="Times New Roman"/>
          <w:color w:val="000000" w:themeColor="text1"/>
          <w:sz w:val="28"/>
          <w:szCs w:val="28"/>
          <w14:textFill>
            <w14:solidFill>
              <w14:schemeClr w14:val="tx1"/>
            </w14:solidFill>
          </w14:textFill>
        </w:rPr>
        <w:t>，</w:t>
      </w:r>
      <w:r>
        <w:rPr>
          <w:rFonts w:ascii="仿宋_GB2312" w:cs="Times New Roman"/>
          <w:color w:val="000000" w:themeColor="text1"/>
          <w:sz w:val="28"/>
          <w:szCs w:val="28"/>
          <w14:textFill>
            <w14:solidFill>
              <w14:schemeClr w14:val="tx1"/>
            </w14:solidFill>
          </w14:textFill>
        </w:rPr>
        <w:t>慈溪气象全方位高质量融入</w:t>
      </w:r>
      <w:r>
        <w:rPr>
          <w:rFonts w:hint="eastAsia" w:ascii="仿宋_GB2312" w:cs="Times New Roman"/>
          <w:color w:val="000000" w:themeColor="text1"/>
          <w:sz w:val="28"/>
          <w:szCs w:val="28"/>
          <w14:textFill>
            <w14:solidFill>
              <w14:schemeClr w14:val="tx1"/>
            </w14:solidFill>
          </w14:textFill>
        </w:rPr>
        <w:t>地方</w:t>
      </w:r>
      <w:r>
        <w:rPr>
          <w:rFonts w:ascii="仿宋_GB2312" w:cs="Times New Roman"/>
          <w:color w:val="000000" w:themeColor="text1"/>
          <w:sz w:val="28"/>
          <w:szCs w:val="28"/>
          <w14:textFill>
            <w14:solidFill>
              <w14:schemeClr w14:val="tx1"/>
            </w14:solidFill>
          </w14:textFill>
        </w:rPr>
        <w:t>经济</w:t>
      </w:r>
      <w:r>
        <w:rPr>
          <w:rFonts w:hint="eastAsia" w:ascii="仿宋_GB2312" w:cs="Times New Roman"/>
          <w:color w:val="000000" w:themeColor="text1"/>
          <w:sz w:val="28"/>
          <w:szCs w:val="28"/>
          <w14:textFill>
            <w14:solidFill>
              <w14:schemeClr w14:val="tx1"/>
            </w14:solidFill>
          </w14:textFill>
        </w:rPr>
        <w:t>、</w:t>
      </w:r>
      <w:r>
        <w:rPr>
          <w:rFonts w:ascii="仿宋_GB2312" w:cs="Times New Roman"/>
          <w:color w:val="000000" w:themeColor="text1"/>
          <w:sz w:val="28"/>
          <w:szCs w:val="28"/>
          <w14:textFill>
            <w14:solidFill>
              <w14:schemeClr w14:val="tx1"/>
            </w14:solidFill>
          </w14:textFill>
        </w:rPr>
        <w:t>社会</w:t>
      </w:r>
      <w:r>
        <w:rPr>
          <w:rFonts w:hint="eastAsia" w:ascii="仿宋_GB2312" w:cs="Times New Roman"/>
          <w:color w:val="000000" w:themeColor="text1"/>
          <w:sz w:val="28"/>
          <w:szCs w:val="28"/>
          <w14:textFill>
            <w14:solidFill>
              <w14:schemeClr w14:val="tx1"/>
            </w14:solidFill>
          </w14:textFill>
        </w:rPr>
        <w:t>、</w:t>
      </w:r>
      <w:r>
        <w:rPr>
          <w:rFonts w:ascii="仿宋_GB2312" w:cs="Times New Roman"/>
          <w:color w:val="000000" w:themeColor="text1"/>
          <w:sz w:val="28"/>
          <w:szCs w:val="28"/>
          <w14:textFill>
            <w14:solidFill>
              <w14:schemeClr w14:val="tx1"/>
            </w14:solidFill>
          </w14:textFill>
        </w:rPr>
        <w:t>民生</w:t>
      </w:r>
      <w:r>
        <w:rPr>
          <w:rFonts w:hint="eastAsia" w:ascii="仿宋_GB2312" w:cs="Times New Roman"/>
          <w:color w:val="000000" w:themeColor="text1"/>
          <w:sz w:val="28"/>
          <w:szCs w:val="28"/>
          <w14:textFill>
            <w14:solidFill>
              <w14:schemeClr w14:val="tx1"/>
            </w14:solidFill>
          </w14:textFill>
        </w:rPr>
        <w:t>、文化</w:t>
      </w:r>
      <w:r>
        <w:rPr>
          <w:rFonts w:ascii="仿宋_GB2312" w:cs="Times New Roman"/>
          <w:color w:val="000000" w:themeColor="text1"/>
          <w:sz w:val="28"/>
          <w:szCs w:val="28"/>
          <w14:textFill>
            <w14:solidFill>
              <w14:schemeClr w14:val="tx1"/>
            </w14:solidFill>
          </w14:textFill>
        </w:rPr>
        <w:t>等各个领域</w:t>
      </w:r>
      <w:r>
        <w:rPr>
          <w:rFonts w:hint="eastAsia" w:ascii="仿宋_GB2312" w:cs="Times New Roman"/>
          <w:color w:val="000000" w:themeColor="text1"/>
          <w:sz w:val="28"/>
          <w:szCs w:val="28"/>
          <w14:textFill>
            <w14:solidFill>
              <w14:schemeClr w14:val="tx1"/>
            </w14:solidFill>
          </w14:textFill>
        </w:rPr>
        <w:t>。</w:t>
      </w:r>
      <w:r>
        <w:rPr>
          <w:rFonts w:ascii="仿宋_GB2312" w:cs="Times New Roman"/>
          <w:color w:val="000000" w:themeColor="text1"/>
          <w:sz w:val="28"/>
          <w:szCs w:val="28"/>
          <w14:textFill>
            <w14:solidFill>
              <w14:schemeClr w14:val="tx1"/>
            </w14:solidFill>
          </w14:textFill>
        </w:rPr>
        <w:t>建立全面</w:t>
      </w:r>
      <w:r>
        <w:rPr>
          <w:rFonts w:hint="eastAsia" w:ascii="仿宋_GB2312" w:cs="Times New Roman"/>
          <w:color w:val="000000" w:themeColor="text1"/>
          <w:sz w:val="28"/>
          <w:szCs w:val="28"/>
          <w14:textFill>
            <w14:solidFill>
              <w14:schemeClr w14:val="tx1"/>
            </w14:solidFill>
          </w14:textFill>
        </w:rPr>
        <w:t>、</w:t>
      </w:r>
      <w:r>
        <w:rPr>
          <w:rFonts w:ascii="仿宋_GB2312" w:cs="Times New Roman"/>
          <w:color w:val="000000" w:themeColor="text1"/>
          <w:sz w:val="28"/>
          <w:szCs w:val="28"/>
          <w14:textFill>
            <w14:solidFill>
              <w14:schemeClr w14:val="tx1"/>
            </w14:solidFill>
          </w14:textFill>
        </w:rPr>
        <w:t>完善</w:t>
      </w:r>
      <w:r>
        <w:rPr>
          <w:rFonts w:hint="eastAsia" w:ascii="仿宋_GB2312" w:cs="Times New Roman"/>
          <w:color w:val="000000" w:themeColor="text1"/>
          <w:sz w:val="28"/>
          <w:szCs w:val="28"/>
          <w14:textFill>
            <w14:solidFill>
              <w14:schemeClr w14:val="tx1"/>
            </w14:solidFill>
          </w14:textFill>
        </w:rPr>
        <w:t>、</w:t>
      </w:r>
      <w:r>
        <w:rPr>
          <w:rFonts w:ascii="仿宋_GB2312" w:cs="Times New Roman"/>
          <w:color w:val="000000" w:themeColor="text1"/>
          <w:sz w:val="28"/>
          <w:szCs w:val="28"/>
          <w14:textFill>
            <w14:solidFill>
              <w14:schemeClr w14:val="tx1"/>
            </w14:solidFill>
          </w14:textFill>
        </w:rPr>
        <w:t>智慧的监测</w:t>
      </w:r>
      <w:r>
        <w:rPr>
          <w:rFonts w:hint="eastAsia" w:ascii="仿宋_GB2312" w:cs="Times New Roman"/>
          <w:color w:val="000000" w:themeColor="text1"/>
          <w:sz w:val="28"/>
          <w:szCs w:val="28"/>
          <w14:textFill>
            <w14:solidFill>
              <w14:schemeClr w14:val="tx1"/>
            </w14:solidFill>
          </w14:textFill>
        </w:rPr>
        <w:t>、</w:t>
      </w:r>
      <w:r>
        <w:rPr>
          <w:rFonts w:ascii="仿宋_GB2312" w:cs="Times New Roman"/>
          <w:color w:val="000000" w:themeColor="text1"/>
          <w:sz w:val="28"/>
          <w:szCs w:val="28"/>
          <w14:textFill>
            <w14:solidFill>
              <w14:schemeClr w14:val="tx1"/>
            </w14:solidFill>
          </w14:textFill>
        </w:rPr>
        <w:t>预报与服务体系</w:t>
      </w:r>
      <w:r>
        <w:rPr>
          <w:rFonts w:hint="eastAsia" w:ascii="仿宋_GB2312" w:cs="Times New Roman"/>
          <w:color w:val="000000" w:themeColor="text1"/>
          <w:sz w:val="28"/>
          <w:szCs w:val="28"/>
          <w14:textFill>
            <w14:solidFill>
              <w14:schemeClr w14:val="tx1"/>
            </w14:solidFill>
          </w14:textFill>
        </w:rPr>
        <w:t>，</w:t>
      </w:r>
      <w:r>
        <w:rPr>
          <w:rFonts w:ascii="仿宋_GB2312" w:cs="Times New Roman"/>
          <w:color w:val="000000" w:themeColor="text1"/>
          <w:sz w:val="28"/>
          <w:szCs w:val="28"/>
          <w14:textFill>
            <w14:solidFill>
              <w14:schemeClr w14:val="tx1"/>
            </w14:solidFill>
          </w14:textFill>
        </w:rPr>
        <w:t>高水平实现</w:t>
      </w:r>
      <w:r>
        <w:rPr>
          <w:rFonts w:hint="eastAsia" w:ascii="仿宋_GB2312" w:cs="Times New Roman"/>
          <w:color w:val="000000" w:themeColor="text1"/>
          <w:sz w:val="28"/>
          <w:szCs w:val="28"/>
          <w14:textFill>
            <w14:solidFill>
              <w14:schemeClr w14:val="tx1"/>
            </w14:solidFill>
          </w14:textFill>
        </w:rPr>
        <w:t>“监测精密、预报精准、服务精细”的发展目标。推进慈溪气象事业走在全省前列，达到全国一流水准。</w:t>
      </w:r>
    </w:p>
    <w:p>
      <w:pPr>
        <w:ind w:firstLine="0" w:firstLineChars="0"/>
        <w:jc w:val="center"/>
        <w:rPr>
          <w:rFonts w:cs="Times New Roman"/>
          <w:b/>
        </w:rPr>
      </w:pPr>
      <w:r>
        <w:rPr>
          <w:rFonts w:hint="eastAsia" w:cs="Times New Roman"/>
          <w:b/>
        </w:rPr>
        <w:t>“十四五”时期慈溪气象事业发展的主要指标</w:t>
      </w:r>
    </w:p>
    <w:tbl>
      <w:tblPr>
        <w:tblStyle w:val="16"/>
        <w:tblW w:w="861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72"/>
        <w:gridCol w:w="567"/>
        <w:gridCol w:w="3118"/>
        <w:gridCol w:w="1536"/>
        <w:gridCol w:w="1763"/>
        <w:gridCol w:w="9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tblHeader/>
          <w:jc w:val="center"/>
        </w:trPr>
        <w:tc>
          <w:tcPr>
            <w:tcW w:w="672" w:type="dxa"/>
            <w:vAlign w:val="center"/>
          </w:tcPr>
          <w:p>
            <w:pPr>
              <w:ind w:firstLine="0" w:firstLineChars="0"/>
              <w:jc w:val="center"/>
              <w:rPr>
                <w:rFonts w:cs="Times New Roman"/>
                <w:b/>
                <w:sz w:val="24"/>
                <w:szCs w:val="24"/>
              </w:rPr>
            </w:pPr>
            <w:r>
              <w:rPr>
                <w:rFonts w:hint="eastAsia" w:cs="Times New Roman"/>
                <w:b/>
                <w:sz w:val="24"/>
                <w:szCs w:val="24"/>
              </w:rPr>
              <w:t>序号</w:t>
            </w:r>
          </w:p>
        </w:tc>
        <w:tc>
          <w:tcPr>
            <w:tcW w:w="567" w:type="dxa"/>
            <w:vAlign w:val="center"/>
          </w:tcPr>
          <w:p>
            <w:pPr>
              <w:ind w:firstLine="0" w:firstLineChars="0"/>
              <w:jc w:val="center"/>
              <w:rPr>
                <w:rFonts w:cs="Times New Roman"/>
                <w:b/>
                <w:sz w:val="24"/>
                <w:szCs w:val="24"/>
              </w:rPr>
            </w:pPr>
            <w:r>
              <w:rPr>
                <w:rFonts w:hint="eastAsia" w:cs="Times New Roman"/>
                <w:b/>
                <w:sz w:val="24"/>
                <w:szCs w:val="24"/>
              </w:rPr>
              <w:t>目标</w:t>
            </w:r>
          </w:p>
        </w:tc>
        <w:tc>
          <w:tcPr>
            <w:tcW w:w="3118" w:type="dxa"/>
            <w:vAlign w:val="center"/>
          </w:tcPr>
          <w:p>
            <w:pPr>
              <w:ind w:firstLine="0" w:firstLineChars="0"/>
              <w:jc w:val="center"/>
              <w:rPr>
                <w:rFonts w:cs="Times New Roman"/>
                <w:b/>
                <w:sz w:val="24"/>
                <w:szCs w:val="24"/>
              </w:rPr>
            </w:pPr>
            <w:r>
              <w:rPr>
                <w:rFonts w:hint="eastAsia" w:cs="Times New Roman"/>
                <w:b/>
                <w:sz w:val="24"/>
                <w:szCs w:val="24"/>
              </w:rPr>
              <w:t>主要指标</w:t>
            </w:r>
          </w:p>
        </w:tc>
        <w:tc>
          <w:tcPr>
            <w:tcW w:w="1536" w:type="dxa"/>
            <w:vAlign w:val="center"/>
          </w:tcPr>
          <w:p>
            <w:pPr>
              <w:ind w:firstLine="0" w:firstLineChars="0"/>
              <w:jc w:val="center"/>
              <w:rPr>
                <w:rFonts w:cs="Times New Roman"/>
                <w:b/>
                <w:sz w:val="24"/>
                <w:szCs w:val="24"/>
              </w:rPr>
            </w:pPr>
            <w:r>
              <w:rPr>
                <w:rFonts w:cs="Times New Roman"/>
                <w:b/>
                <w:sz w:val="24"/>
                <w:szCs w:val="24"/>
              </w:rPr>
              <w:t>2020</w:t>
            </w:r>
            <w:r>
              <w:rPr>
                <w:rFonts w:hint="eastAsia" w:cs="Times New Roman"/>
                <w:b/>
                <w:sz w:val="24"/>
                <w:szCs w:val="24"/>
              </w:rPr>
              <w:t>年基值</w:t>
            </w:r>
          </w:p>
        </w:tc>
        <w:tc>
          <w:tcPr>
            <w:tcW w:w="1763" w:type="dxa"/>
            <w:vAlign w:val="center"/>
          </w:tcPr>
          <w:p>
            <w:pPr>
              <w:ind w:firstLine="0" w:firstLineChars="0"/>
              <w:jc w:val="center"/>
              <w:rPr>
                <w:rFonts w:cs="Times New Roman"/>
                <w:b/>
                <w:sz w:val="24"/>
                <w:szCs w:val="24"/>
              </w:rPr>
            </w:pPr>
            <w:r>
              <w:rPr>
                <w:rFonts w:cs="Times New Roman"/>
                <w:b/>
                <w:sz w:val="24"/>
                <w:szCs w:val="24"/>
              </w:rPr>
              <w:t>2025</w:t>
            </w:r>
            <w:r>
              <w:rPr>
                <w:rFonts w:hint="eastAsia" w:cs="Times New Roman"/>
                <w:b/>
                <w:sz w:val="24"/>
                <w:szCs w:val="24"/>
              </w:rPr>
              <w:t>年目标</w:t>
            </w:r>
          </w:p>
        </w:tc>
        <w:tc>
          <w:tcPr>
            <w:tcW w:w="954" w:type="dxa"/>
          </w:tcPr>
          <w:p>
            <w:pPr>
              <w:ind w:firstLine="0" w:firstLineChars="0"/>
              <w:jc w:val="center"/>
              <w:rPr>
                <w:rFonts w:cs="Times New Roman"/>
                <w:b/>
                <w:sz w:val="24"/>
                <w:szCs w:val="24"/>
              </w:rPr>
            </w:pPr>
            <w:r>
              <w:rPr>
                <w:rFonts w:hint="eastAsia" w:cs="Times New Roman"/>
                <w:b/>
                <w:sz w:val="24"/>
                <w:szCs w:val="24"/>
              </w:rPr>
              <w:t>指标属性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672" w:type="dxa"/>
            <w:vAlign w:val="center"/>
          </w:tcPr>
          <w:p>
            <w:pPr>
              <w:ind w:firstLine="0" w:firstLineChars="0"/>
              <w:jc w:val="center"/>
              <w:rPr>
                <w:rFonts w:cs="Times New Roman"/>
                <w:sz w:val="24"/>
                <w:szCs w:val="24"/>
              </w:rPr>
            </w:pPr>
            <w:r>
              <w:rPr>
                <w:rFonts w:cs="Times New Roman"/>
                <w:sz w:val="24"/>
                <w:szCs w:val="24"/>
              </w:rPr>
              <w:t>1</w:t>
            </w:r>
          </w:p>
        </w:tc>
        <w:tc>
          <w:tcPr>
            <w:tcW w:w="567" w:type="dxa"/>
            <w:vMerge w:val="restart"/>
            <w:vAlign w:val="center"/>
          </w:tcPr>
          <w:p>
            <w:pPr>
              <w:ind w:firstLine="0" w:firstLineChars="0"/>
              <w:jc w:val="center"/>
              <w:rPr>
                <w:rFonts w:cs="Times New Roman"/>
                <w:sz w:val="24"/>
                <w:szCs w:val="24"/>
              </w:rPr>
            </w:pPr>
            <w:r>
              <w:rPr>
                <w:rFonts w:hint="eastAsia" w:cs="Times New Roman"/>
                <w:sz w:val="24"/>
                <w:szCs w:val="24"/>
              </w:rPr>
              <w:t>监测精密</w:t>
            </w:r>
          </w:p>
        </w:tc>
        <w:tc>
          <w:tcPr>
            <w:tcW w:w="3118" w:type="dxa"/>
            <w:vAlign w:val="center"/>
          </w:tcPr>
          <w:p>
            <w:pPr>
              <w:ind w:firstLine="0" w:firstLineChars="0"/>
              <w:jc w:val="center"/>
              <w:rPr>
                <w:rFonts w:cs="Times New Roman"/>
                <w:sz w:val="24"/>
                <w:szCs w:val="24"/>
              </w:rPr>
            </w:pPr>
            <w:r>
              <w:rPr>
                <w:rFonts w:hint="eastAsia" w:cs="Times New Roman"/>
                <w:sz w:val="24"/>
                <w:szCs w:val="24"/>
              </w:rPr>
              <w:t>气象观测站网平均间距</w:t>
            </w:r>
          </w:p>
        </w:tc>
        <w:tc>
          <w:tcPr>
            <w:tcW w:w="1536" w:type="dxa"/>
            <w:vAlign w:val="center"/>
          </w:tcPr>
          <w:p>
            <w:pPr>
              <w:ind w:firstLine="0" w:firstLineChars="0"/>
              <w:jc w:val="center"/>
              <w:rPr>
                <w:rFonts w:cs="Times New Roman"/>
                <w:sz w:val="24"/>
                <w:szCs w:val="24"/>
              </w:rPr>
            </w:pPr>
            <w:r>
              <w:rPr>
                <w:rFonts w:cs="Times New Roman"/>
                <w:sz w:val="24"/>
                <w:szCs w:val="24"/>
              </w:rPr>
              <w:t>5.48</w:t>
            </w:r>
            <w:r>
              <w:rPr>
                <w:rFonts w:hint="eastAsia" w:cs="Times New Roman"/>
                <w:sz w:val="24"/>
                <w:szCs w:val="24"/>
              </w:rPr>
              <w:t>公里</w:t>
            </w:r>
          </w:p>
        </w:tc>
        <w:tc>
          <w:tcPr>
            <w:tcW w:w="1763" w:type="dxa"/>
            <w:vAlign w:val="center"/>
          </w:tcPr>
          <w:p>
            <w:pPr>
              <w:ind w:firstLine="0" w:firstLineChars="0"/>
              <w:jc w:val="center"/>
              <w:rPr>
                <w:rFonts w:cs="Times New Roman"/>
                <w:sz w:val="24"/>
                <w:szCs w:val="24"/>
              </w:rPr>
            </w:pPr>
            <w:r>
              <w:rPr>
                <w:rFonts w:cs="Times New Roman"/>
                <w:sz w:val="24"/>
                <w:szCs w:val="24"/>
              </w:rPr>
              <w:t>5.0</w:t>
            </w:r>
            <w:r>
              <w:rPr>
                <w:rFonts w:hint="eastAsia" w:cs="Times New Roman"/>
                <w:sz w:val="24"/>
                <w:szCs w:val="24"/>
              </w:rPr>
              <w:t>公里</w:t>
            </w:r>
          </w:p>
        </w:tc>
        <w:tc>
          <w:tcPr>
            <w:tcW w:w="954" w:type="dxa"/>
          </w:tcPr>
          <w:p>
            <w:pPr>
              <w:ind w:firstLine="0" w:firstLineChars="0"/>
              <w:jc w:val="center"/>
              <w:rPr>
                <w:rFonts w:cs="Times New Roman"/>
                <w:sz w:val="24"/>
                <w:szCs w:val="24"/>
              </w:rPr>
            </w:pPr>
            <w:r>
              <w:rPr>
                <w:rFonts w:hint="eastAsia" w:cs="Times New Roman"/>
                <w:sz w:val="24"/>
                <w:szCs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672" w:type="dxa"/>
            <w:vAlign w:val="center"/>
          </w:tcPr>
          <w:p>
            <w:pPr>
              <w:ind w:firstLine="0" w:firstLineChars="0"/>
              <w:jc w:val="center"/>
              <w:rPr>
                <w:rFonts w:cs="Times New Roman"/>
                <w:sz w:val="24"/>
                <w:szCs w:val="24"/>
              </w:rPr>
            </w:pPr>
            <w:r>
              <w:rPr>
                <w:rFonts w:cs="Times New Roman"/>
                <w:sz w:val="24"/>
                <w:szCs w:val="24"/>
              </w:rPr>
              <w:t>2</w:t>
            </w:r>
          </w:p>
        </w:tc>
        <w:tc>
          <w:tcPr>
            <w:tcW w:w="567" w:type="dxa"/>
            <w:vMerge w:val="continue"/>
            <w:vAlign w:val="center"/>
          </w:tcPr>
          <w:p>
            <w:pPr>
              <w:ind w:firstLine="0" w:firstLineChars="0"/>
              <w:jc w:val="center"/>
              <w:rPr>
                <w:rFonts w:cs="Times New Roman"/>
                <w:sz w:val="24"/>
                <w:szCs w:val="24"/>
              </w:rPr>
            </w:pPr>
          </w:p>
        </w:tc>
        <w:tc>
          <w:tcPr>
            <w:tcW w:w="3118" w:type="dxa"/>
            <w:vAlign w:val="center"/>
          </w:tcPr>
          <w:p>
            <w:pPr>
              <w:ind w:firstLine="0" w:firstLineChars="0"/>
              <w:jc w:val="center"/>
              <w:rPr>
                <w:rFonts w:cs="Times New Roman"/>
                <w:sz w:val="24"/>
                <w:szCs w:val="24"/>
              </w:rPr>
            </w:pPr>
            <w:r>
              <w:rPr>
                <w:rFonts w:hint="eastAsia" w:cs="Times New Roman"/>
                <w:sz w:val="24"/>
                <w:szCs w:val="24"/>
              </w:rPr>
              <w:t>灾害性天气监测率</w:t>
            </w:r>
          </w:p>
        </w:tc>
        <w:tc>
          <w:tcPr>
            <w:tcW w:w="1536" w:type="dxa"/>
            <w:vAlign w:val="center"/>
          </w:tcPr>
          <w:p>
            <w:pPr>
              <w:ind w:firstLine="0" w:firstLineChars="0"/>
              <w:jc w:val="center"/>
              <w:rPr>
                <w:rFonts w:cs="Times New Roman"/>
                <w:sz w:val="24"/>
                <w:szCs w:val="24"/>
              </w:rPr>
            </w:pPr>
            <w:r>
              <w:rPr>
                <w:rFonts w:cs="Times New Roman"/>
                <w:sz w:val="24"/>
                <w:szCs w:val="24"/>
              </w:rPr>
              <w:t>88%</w:t>
            </w:r>
          </w:p>
        </w:tc>
        <w:tc>
          <w:tcPr>
            <w:tcW w:w="1763" w:type="dxa"/>
            <w:vAlign w:val="center"/>
          </w:tcPr>
          <w:p>
            <w:pPr>
              <w:ind w:firstLine="0" w:firstLineChars="0"/>
              <w:jc w:val="center"/>
              <w:rPr>
                <w:rFonts w:cs="Times New Roman"/>
                <w:sz w:val="24"/>
                <w:szCs w:val="24"/>
              </w:rPr>
            </w:pPr>
            <w:r>
              <w:rPr>
                <w:rFonts w:cs="Times New Roman"/>
                <w:sz w:val="24"/>
                <w:szCs w:val="24"/>
              </w:rPr>
              <w:t>95%</w:t>
            </w:r>
          </w:p>
        </w:tc>
        <w:tc>
          <w:tcPr>
            <w:tcW w:w="954" w:type="dxa"/>
          </w:tcPr>
          <w:p>
            <w:pPr>
              <w:ind w:firstLine="0" w:firstLineChars="0"/>
              <w:jc w:val="center"/>
              <w:rPr>
                <w:rFonts w:cs="Times New Roman"/>
                <w:sz w:val="24"/>
                <w:szCs w:val="24"/>
              </w:rPr>
            </w:pPr>
            <w:r>
              <w:rPr>
                <w:rFonts w:hint="eastAsia" w:cs="Times New Roman"/>
                <w:sz w:val="24"/>
                <w:szCs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672" w:type="dxa"/>
            <w:vAlign w:val="center"/>
          </w:tcPr>
          <w:p>
            <w:pPr>
              <w:ind w:firstLine="0" w:firstLineChars="0"/>
              <w:jc w:val="center"/>
              <w:rPr>
                <w:rFonts w:cs="Times New Roman"/>
                <w:sz w:val="24"/>
                <w:szCs w:val="24"/>
              </w:rPr>
            </w:pPr>
            <w:r>
              <w:rPr>
                <w:rFonts w:cs="Times New Roman"/>
                <w:sz w:val="24"/>
                <w:szCs w:val="24"/>
              </w:rPr>
              <w:t>3</w:t>
            </w:r>
          </w:p>
        </w:tc>
        <w:tc>
          <w:tcPr>
            <w:tcW w:w="567" w:type="dxa"/>
            <w:vMerge w:val="continue"/>
            <w:vAlign w:val="center"/>
          </w:tcPr>
          <w:p>
            <w:pPr>
              <w:ind w:firstLine="0" w:firstLineChars="0"/>
              <w:jc w:val="center"/>
              <w:rPr>
                <w:rFonts w:cs="Times New Roman"/>
                <w:sz w:val="24"/>
                <w:szCs w:val="24"/>
              </w:rPr>
            </w:pPr>
          </w:p>
        </w:tc>
        <w:tc>
          <w:tcPr>
            <w:tcW w:w="3118" w:type="dxa"/>
            <w:vAlign w:val="center"/>
          </w:tcPr>
          <w:p>
            <w:pPr>
              <w:ind w:firstLine="0" w:firstLineChars="0"/>
              <w:jc w:val="center"/>
              <w:rPr>
                <w:rFonts w:cs="Times New Roman"/>
                <w:sz w:val="24"/>
                <w:szCs w:val="24"/>
              </w:rPr>
            </w:pPr>
            <w:r>
              <w:rPr>
                <w:rFonts w:hint="eastAsia" w:cs="Times New Roman"/>
                <w:sz w:val="24"/>
                <w:szCs w:val="24"/>
              </w:rPr>
              <w:t>气象信息化水平</w:t>
            </w:r>
          </w:p>
        </w:tc>
        <w:tc>
          <w:tcPr>
            <w:tcW w:w="1536" w:type="dxa"/>
            <w:vAlign w:val="center"/>
          </w:tcPr>
          <w:p>
            <w:pPr>
              <w:ind w:firstLine="0" w:firstLineChars="0"/>
              <w:jc w:val="center"/>
              <w:rPr>
                <w:rFonts w:cs="Times New Roman"/>
                <w:sz w:val="24"/>
                <w:szCs w:val="24"/>
              </w:rPr>
            </w:pPr>
            <w:r>
              <w:rPr>
                <w:rFonts w:cs="Times New Roman"/>
                <w:sz w:val="24"/>
                <w:szCs w:val="24"/>
              </w:rPr>
              <w:t>85%</w:t>
            </w:r>
          </w:p>
        </w:tc>
        <w:tc>
          <w:tcPr>
            <w:tcW w:w="1763" w:type="dxa"/>
            <w:vAlign w:val="center"/>
          </w:tcPr>
          <w:p>
            <w:pPr>
              <w:ind w:firstLine="0" w:firstLineChars="0"/>
              <w:jc w:val="center"/>
              <w:rPr>
                <w:rFonts w:cs="Times New Roman"/>
                <w:sz w:val="24"/>
                <w:szCs w:val="24"/>
              </w:rPr>
            </w:pPr>
            <w:r>
              <w:rPr>
                <w:rFonts w:cs="Times New Roman"/>
                <w:sz w:val="24"/>
                <w:szCs w:val="24"/>
              </w:rPr>
              <w:t>95%</w:t>
            </w:r>
          </w:p>
        </w:tc>
        <w:tc>
          <w:tcPr>
            <w:tcW w:w="954" w:type="dxa"/>
          </w:tcPr>
          <w:p>
            <w:pPr>
              <w:ind w:firstLine="0" w:firstLineChars="0"/>
              <w:jc w:val="center"/>
              <w:rPr>
                <w:rFonts w:cs="Times New Roman"/>
                <w:sz w:val="24"/>
                <w:szCs w:val="24"/>
              </w:rPr>
            </w:pPr>
            <w:r>
              <w:rPr>
                <w:rFonts w:hint="eastAsia" w:cs="Times New Roman"/>
                <w:sz w:val="24"/>
                <w:szCs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672" w:type="dxa"/>
            <w:vAlign w:val="center"/>
          </w:tcPr>
          <w:p>
            <w:pPr>
              <w:ind w:firstLine="0" w:firstLineChars="0"/>
              <w:jc w:val="center"/>
              <w:rPr>
                <w:rFonts w:cs="Times New Roman"/>
                <w:sz w:val="24"/>
                <w:szCs w:val="24"/>
              </w:rPr>
            </w:pPr>
            <w:r>
              <w:rPr>
                <w:rFonts w:cs="Times New Roman"/>
                <w:sz w:val="24"/>
                <w:szCs w:val="24"/>
              </w:rPr>
              <w:t>4</w:t>
            </w:r>
          </w:p>
        </w:tc>
        <w:tc>
          <w:tcPr>
            <w:tcW w:w="567" w:type="dxa"/>
            <w:vMerge w:val="restart"/>
            <w:vAlign w:val="center"/>
          </w:tcPr>
          <w:p>
            <w:pPr>
              <w:ind w:firstLine="0" w:firstLineChars="0"/>
              <w:jc w:val="center"/>
              <w:rPr>
                <w:rFonts w:cs="Times New Roman"/>
                <w:sz w:val="24"/>
                <w:szCs w:val="24"/>
              </w:rPr>
            </w:pPr>
            <w:r>
              <w:rPr>
                <w:rFonts w:hint="eastAsia" w:cs="Times New Roman"/>
                <w:sz w:val="24"/>
                <w:szCs w:val="24"/>
              </w:rPr>
              <w:t>预报</w:t>
            </w:r>
          </w:p>
          <w:p>
            <w:pPr>
              <w:ind w:firstLine="0" w:firstLineChars="0"/>
              <w:jc w:val="center"/>
              <w:rPr>
                <w:rFonts w:cs="Times New Roman"/>
                <w:sz w:val="24"/>
                <w:szCs w:val="24"/>
              </w:rPr>
            </w:pPr>
            <w:r>
              <w:rPr>
                <w:rFonts w:hint="eastAsia" w:cs="Times New Roman"/>
                <w:sz w:val="24"/>
                <w:szCs w:val="24"/>
              </w:rPr>
              <w:t>精准</w:t>
            </w:r>
          </w:p>
        </w:tc>
        <w:tc>
          <w:tcPr>
            <w:tcW w:w="3118" w:type="dxa"/>
            <w:vAlign w:val="center"/>
          </w:tcPr>
          <w:p>
            <w:pPr>
              <w:ind w:firstLine="0" w:firstLineChars="0"/>
              <w:jc w:val="center"/>
              <w:rPr>
                <w:rFonts w:cs="Times New Roman"/>
                <w:sz w:val="24"/>
                <w:szCs w:val="24"/>
              </w:rPr>
            </w:pPr>
            <w:r>
              <w:rPr>
                <w:rFonts w:hint="eastAsia" w:cs="Times New Roman"/>
                <w:sz w:val="24"/>
                <w:szCs w:val="24"/>
              </w:rPr>
              <w:t>网格预报水平空间分辨率</w:t>
            </w:r>
          </w:p>
        </w:tc>
        <w:tc>
          <w:tcPr>
            <w:tcW w:w="1536" w:type="dxa"/>
            <w:vAlign w:val="center"/>
          </w:tcPr>
          <w:p>
            <w:pPr>
              <w:ind w:firstLine="0" w:firstLineChars="0"/>
              <w:jc w:val="center"/>
              <w:rPr>
                <w:rFonts w:cs="Times New Roman"/>
                <w:sz w:val="24"/>
                <w:szCs w:val="24"/>
              </w:rPr>
            </w:pPr>
            <w:r>
              <w:rPr>
                <w:rFonts w:cs="Times New Roman"/>
                <w:sz w:val="24"/>
                <w:szCs w:val="24"/>
              </w:rPr>
              <w:t>5</w:t>
            </w:r>
            <w:r>
              <w:rPr>
                <w:rFonts w:hint="eastAsia" w:cs="Times New Roman"/>
                <w:sz w:val="24"/>
                <w:szCs w:val="24"/>
              </w:rPr>
              <w:t>公里</w:t>
            </w:r>
          </w:p>
        </w:tc>
        <w:tc>
          <w:tcPr>
            <w:tcW w:w="1763" w:type="dxa"/>
            <w:vAlign w:val="center"/>
          </w:tcPr>
          <w:p>
            <w:pPr>
              <w:ind w:firstLine="0" w:firstLineChars="0"/>
              <w:jc w:val="center"/>
              <w:rPr>
                <w:rFonts w:cs="Times New Roman"/>
                <w:sz w:val="24"/>
                <w:szCs w:val="24"/>
              </w:rPr>
            </w:pPr>
            <w:r>
              <w:rPr>
                <w:rFonts w:cs="Times New Roman"/>
                <w:sz w:val="24"/>
                <w:szCs w:val="24"/>
              </w:rPr>
              <w:t>1</w:t>
            </w:r>
            <w:r>
              <w:rPr>
                <w:rFonts w:hint="eastAsia" w:cs="Times New Roman"/>
                <w:sz w:val="24"/>
                <w:szCs w:val="24"/>
              </w:rPr>
              <w:t>公里</w:t>
            </w:r>
          </w:p>
        </w:tc>
        <w:tc>
          <w:tcPr>
            <w:tcW w:w="954" w:type="dxa"/>
          </w:tcPr>
          <w:p>
            <w:pPr>
              <w:ind w:firstLine="0" w:firstLineChars="0"/>
              <w:jc w:val="center"/>
              <w:rPr>
                <w:rFonts w:cs="Times New Roman"/>
                <w:sz w:val="24"/>
                <w:szCs w:val="24"/>
              </w:rPr>
            </w:pPr>
            <w:r>
              <w:rPr>
                <w:rFonts w:hint="eastAsia" w:cs="Times New Roman"/>
                <w:sz w:val="24"/>
                <w:szCs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672" w:type="dxa"/>
            <w:vAlign w:val="center"/>
          </w:tcPr>
          <w:p>
            <w:pPr>
              <w:ind w:firstLine="0" w:firstLineChars="0"/>
              <w:jc w:val="center"/>
              <w:rPr>
                <w:rFonts w:cs="Times New Roman"/>
                <w:sz w:val="24"/>
                <w:szCs w:val="24"/>
              </w:rPr>
            </w:pPr>
            <w:r>
              <w:rPr>
                <w:rFonts w:cs="Times New Roman"/>
                <w:sz w:val="24"/>
                <w:szCs w:val="24"/>
              </w:rPr>
              <w:t>5</w:t>
            </w:r>
          </w:p>
        </w:tc>
        <w:tc>
          <w:tcPr>
            <w:tcW w:w="567" w:type="dxa"/>
            <w:vMerge w:val="continue"/>
            <w:vAlign w:val="center"/>
          </w:tcPr>
          <w:p>
            <w:pPr>
              <w:ind w:firstLine="0" w:firstLineChars="0"/>
              <w:jc w:val="center"/>
              <w:rPr>
                <w:rFonts w:cs="Times New Roman"/>
                <w:sz w:val="24"/>
                <w:szCs w:val="24"/>
              </w:rPr>
            </w:pPr>
          </w:p>
        </w:tc>
        <w:tc>
          <w:tcPr>
            <w:tcW w:w="3118" w:type="dxa"/>
            <w:vAlign w:val="center"/>
          </w:tcPr>
          <w:p>
            <w:pPr>
              <w:ind w:firstLine="0" w:firstLineChars="0"/>
              <w:jc w:val="center"/>
              <w:rPr>
                <w:rFonts w:cs="Times New Roman"/>
                <w:sz w:val="24"/>
                <w:szCs w:val="24"/>
              </w:rPr>
            </w:pPr>
            <w:r>
              <w:rPr>
                <w:rFonts w:hint="eastAsia" w:cs="Times New Roman"/>
                <w:sz w:val="24"/>
                <w:szCs w:val="24"/>
              </w:rPr>
              <w:t>网格预报时间分辨率</w:t>
            </w:r>
          </w:p>
        </w:tc>
        <w:tc>
          <w:tcPr>
            <w:tcW w:w="1536" w:type="dxa"/>
            <w:vAlign w:val="center"/>
          </w:tcPr>
          <w:p>
            <w:pPr>
              <w:ind w:firstLine="0" w:firstLineChars="0"/>
              <w:jc w:val="center"/>
              <w:rPr>
                <w:rFonts w:cs="Times New Roman"/>
                <w:sz w:val="24"/>
                <w:szCs w:val="24"/>
              </w:rPr>
            </w:pPr>
            <w:r>
              <w:rPr>
                <w:rFonts w:cs="Times New Roman"/>
                <w:sz w:val="24"/>
                <w:szCs w:val="24"/>
              </w:rPr>
              <w:t>3</w:t>
            </w:r>
            <w:r>
              <w:rPr>
                <w:rFonts w:hint="eastAsia" w:cs="Times New Roman"/>
                <w:sz w:val="24"/>
                <w:szCs w:val="24"/>
              </w:rPr>
              <w:t>小时（</w:t>
            </w:r>
            <w:r>
              <w:rPr>
                <w:rFonts w:cs="Times New Roman"/>
                <w:sz w:val="24"/>
                <w:szCs w:val="24"/>
              </w:rPr>
              <w:t>1</w:t>
            </w:r>
            <w:r>
              <w:rPr>
                <w:rFonts w:hint="eastAsia" w:cs="Times New Roman"/>
                <w:sz w:val="24"/>
                <w:szCs w:val="24"/>
              </w:rPr>
              <w:t>天内）</w:t>
            </w:r>
          </w:p>
        </w:tc>
        <w:tc>
          <w:tcPr>
            <w:tcW w:w="1763" w:type="dxa"/>
            <w:vAlign w:val="center"/>
          </w:tcPr>
          <w:p>
            <w:pPr>
              <w:ind w:firstLine="0" w:firstLineChars="0"/>
              <w:jc w:val="center"/>
              <w:rPr>
                <w:rFonts w:cs="Times New Roman"/>
                <w:sz w:val="24"/>
                <w:szCs w:val="24"/>
              </w:rPr>
            </w:pPr>
            <w:r>
              <w:rPr>
                <w:rFonts w:cs="Times New Roman"/>
                <w:sz w:val="24"/>
                <w:szCs w:val="24"/>
              </w:rPr>
              <w:t>1</w:t>
            </w:r>
            <w:r>
              <w:rPr>
                <w:rFonts w:hint="eastAsia" w:cs="Times New Roman"/>
                <w:sz w:val="24"/>
                <w:szCs w:val="24"/>
              </w:rPr>
              <w:t>小时（</w:t>
            </w:r>
            <w:r>
              <w:rPr>
                <w:rFonts w:cs="Times New Roman"/>
                <w:sz w:val="24"/>
                <w:szCs w:val="24"/>
              </w:rPr>
              <w:t>3</w:t>
            </w:r>
            <w:r>
              <w:rPr>
                <w:rFonts w:hint="eastAsia" w:cs="Times New Roman"/>
                <w:sz w:val="24"/>
                <w:szCs w:val="24"/>
              </w:rPr>
              <w:t>天内）</w:t>
            </w:r>
          </w:p>
        </w:tc>
        <w:tc>
          <w:tcPr>
            <w:tcW w:w="954" w:type="dxa"/>
          </w:tcPr>
          <w:p>
            <w:pPr>
              <w:ind w:firstLine="0" w:firstLineChars="0"/>
              <w:jc w:val="center"/>
              <w:rPr>
                <w:rFonts w:cs="Times New Roman"/>
                <w:sz w:val="24"/>
                <w:szCs w:val="24"/>
              </w:rPr>
            </w:pPr>
            <w:r>
              <w:rPr>
                <w:rFonts w:hint="eastAsia" w:cs="Times New Roman"/>
                <w:sz w:val="24"/>
                <w:szCs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672" w:type="dxa"/>
            <w:vAlign w:val="center"/>
          </w:tcPr>
          <w:p>
            <w:pPr>
              <w:ind w:firstLine="0" w:firstLineChars="0"/>
              <w:jc w:val="center"/>
              <w:rPr>
                <w:rFonts w:cs="Times New Roman"/>
                <w:sz w:val="24"/>
                <w:szCs w:val="24"/>
              </w:rPr>
            </w:pPr>
            <w:r>
              <w:rPr>
                <w:rFonts w:cs="Times New Roman"/>
                <w:sz w:val="24"/>
                <w:szCs w:val="24"/>
              </w:rPr>
              <w:t>6</w:t>
            </w:r>
          </w:p>
        </w:tc>
        <w:tc>
          <w:tcPr>
            <w:tcW w:w="567" w:type="dxa"/>
            <w:vMerge w:val="continue"/>
            <w:vAlign w:val="center"/>
          </w:tcPr>
          <w:p>
            <w:pPr>
              <w:ind w:firstLine="0" w:firstLineChars="0"/>
              <w:jc w:val="center"/>
              <w:rPr>
                <w:rFonts w:cs="Times New Roman"/>
                <w:sz w:val="24"/>
                <w:szCs w:val="24"/>
              </w:rPr>
            </w:pPr>
          </w:p>
        </w:tc>
        <w:tc>
          <w:tcPr>
            <w:tcW w:w="3118" w:type="dxa"/>
            <w:vAlign w:val="center"/>
          </w:tcPr>
          <w:p>
            <w:pPr>
              <w:ind w:firstLine="0" w:firstLineChars="0"/>
              <w:jc w:val="center"/>
              <w:rPr>
                <w:rFonts w:cs="Times New Roman"/>
                <w:sz w:val="24"/>
                <w:szCs w:val="24"/>
              </w:rPr>
            </w:pPr>
            <w:r>
              <w:rPr>
                <w:rFonts w:hint="eastAsia" w:cs="Times New Roman"/>
                <w:sz w:val="24"/>
                <w:szCs w:val="24"/>
              </w:rPr>
              <w:t>突发强天气有效预警时间</w:t>
            </w:r>
          </w:p>
        </w:tc>
        <w:tc>
          <w:tcPr>
            <w:tcW w:w="1536" w:type="dxa"/>
            <w:vAlign w:val="center"/>
          </w:tcPr>
          <w:p>
            <w:pPr>
              <w:ind w:firstLine="0" w:firstLineChars="0"/>
              <w:jc w:val="center"/>
              <w:rPr>
                <w:rFonts w:cs="Times New Roman"/>
                <w:sz w:val="24"/>
                <w:szCs w:val="24"/>
              </w:rPr>
            </w:pPr>
            <w:r>
              <w:rPr>
                <w:rFonts w:cs="Times New Roman"/>
                <w:sz w:val="24"/>
                <w:szCs w:val="24"/>
              </w:rPr>
              <w:t>30</w:t>
            </w:r>
            <w:r>
              <w:rPr>
                <w:rFonts w:hint="eastAsia" w:cs="Times New Roman"/>
                <w:sz w:val="24"/>
                <w:szCs w:val="24"/>
              </w:rPr>
              <w:t>分钟</w:t>
            </w:r>
          </w:p>
        </w:tc>
        <w:tc>
          <w:tcPr>
            <w:tcW w:w="1763" w:type="dxa"/>
            <w:vAlign w:val="center"/>
          </w:tcPr>
          <w:p>
            <w:pPr>
              <w:ind w:firstLine="0" w:firstLineChars="0"/>
              <w:jc w:val="center"/>
              <w:rPr>
                <w:rFonts w:cs="Times New Roman"/>
                <w:sz w:val="24"/>
                <w:szCs w:val="24"/>
              </w:rPr>
            </w:pPr>
            <w:r>
              <w:rPr>
                <w:rFonts w:cs="Times New Roman"/>
                <w:sz w:val="24"/>
                <w:szCs w:val="24"/>
              </w:rPr>
              <w:t>60</w:t>
            </w:r>
            <w:r>
              <w:rPr>
                <w:rFonts w:hint="eastAsia" w:cs="Times New Roman"/>
                <w:sz w:val="24"/>
                <w:szCs w:val="24"/>
              </w:rPr>
              <w:t>分钟</w:t>
            </w:r>
          </w:p>
        </w:tc>
        <w:tc>
          <w:tcPr>
            <w:tcW w:w="954" w:type="dxa"/>
          </w:tcPr>
          <w:p>
            <w:pPr>
              <w:ind w:firstLine="0" w:firstLineChars="0"/>
              <w:jc w:val="center"/>
              <w:rPr>
                <w:rFonts w:cs="Times New Roman"/>
                <w:sz w:val="24"/>
                <w:szCs w:val="24"/>
              </w:rPr>
            </w:pPr>
            <w:r>
              <w:rPr>
                <w:rFonts w:hint="eastAsia" w:cs="Times New Roman"/>
                <w:sz w:val="24"/>
                <w:szCs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672" w:type="dxa"/>
            <w:vAlign w:val="center"/>
          </w:tcPr>
          <w:p>
            <w:pPr>
              <w:ind w:firstLine="0" w:firstLineChars="0"/>
              <w:jc w:val="center"/>
              <w:rPr>
                <w:rFonts w:cs="Times New Roman"/>
                <w:sz w:val="24"/>
                <w:szCs w:val="24"/>
              </w:rPr>
            </w:pPr>
            <w:r>
              <w:rPr>
                <w:rFonts w:cs="Times New Roman"/>
                <w:sz w:val="24"/>
                <w:szCs w:val="24"/>
              </w:rPr>
              <w:t>7</w:t>
            </w:r>
          </w:p>
        </w:tc>
        <w:tc>
          <w:tcPr>
            <w:tcW w:w="567" w:type="dxa"/>
            <w:vMerge w:val="continue"/>
            <w:vAlign w:val="center"/>
          </w:tcPr>
          <w:p>
            <w:pPr>
              <w:ind w:firstLine="0" w:firstLineChars="0"/>
              <w:jc w:val="center"/>
              <w:rPr>
                <w:rFonts w:cs="Times New Roman"/>
                <w:sz w:val="24"/>
                <w:szCs w:val="24"/>
              </w:rPr>
            </w:pPr>
          </w:p>
        </w:tc>
        <w:tc>
          <w:tcPr>
            <w:tcW w:w="3118" w:type="dxa"/>
            <w:vAlign w:val="center"/>
          </w:tcPr>
          <w:p>
            <w:pPr>
              <w:ind w:firstLine="0" w:firstLineChars="0"/>
              <w:jc w:val="center"/>
              <w:rPr>
                <w:rFonts w:cs="Times New Roman"/>
                <w:sz w:val="24"/>
                <w:szCs w:val="24"/>
              </w:rPr>
            </w:pPr>
            <w:r>
              <w:rPr>
                <w:rFonts w:cs="Times New Roman"/>
                <w:sz w:val="24"/>
                <w:szCs w:val="24"/>
              </w:rPr>
              <w:t>24</w:t>
            </w:r>
            <w:r>
              <w:rPr>
                <w:rFonts w:hint="eastAsia" w:cs="Times New Roman"/>
                <w:sz w:val="24"/>
                <w:szCs w:val="24"/>
              </w:rPr>
              <w:t>小时晴雨预报准确率</w:t>
            </w:r>
          </w:p>
        </w:tc>
        <w:tc>
          <w:tcPr>
            <w:tcW w:w="1536" w:type="dxa"/>
            <w:vAlign w:val="center"/>
          </w:tcPr>
          <w:p>
            <w:pPr>
              <w:ind w:firstLine="0" w:firstLineChars="0"/>
              <w:jc w:val="center"/>
              <w:rPr>
                <w:rFonts w:cs="Times New Roman"/>
                <w:sz w:val="24"/>
                <w:szCs w:val="24"/>
              </w:rPr>
            </w:pPr>
            <w:r>
              <w:rPr>
                <w:rFonts w:cs="Times New Roman"/>
                <w:sz w:val="24"/>
                <w:szCs w:val="24"/>
              </w:rPr>
              <w:t>83.5%</w:t>
            </w:r>
          </w:p>
        </w:tc>
        <w:tc>
          <w:tcPr>
            <w:tcW w:w="1763" w:type="dxa"/>
            <w:vAlign w:val="center"/>
          </w:tcPr>
          <w:p>
            <w:pPr>
              <w:ind w:firstLine="0" w:firstLineChars="0"/>
              <w:jc w:val="center"/>
              <w:rPr>
                <w:rFonts w:cs="Times New Roman"/>
                <w:sz w:val="24"/>
                <w:szCs w:val="24"/>
              </w:rPr>
            </w:pPr>
            <w:r>
              <w:rPr>
                <w:rFonts w:cs="Times New Roman"/>
                <w:sz w:val="24"/>
                <w:szCs w:val="24"/>
              </w:rPr>
              <w:t>86%</w:t>
            </w:r>
          </w:p>
        </w:tc>
        <w:tc>
          <w:tcPr>
            <w:tcW w:w="954" w:type="dxa"/>
          </w:tcPr>
          <w:p>
            <w:pPr>
              <w:ind w:firstLine="0" w:firstLineChars="0"/>
              <w:jc w:val="center"/>
            </w:pPr>
            <w:r>
              <w:rPr>
                <w:rFonts w:hint="eastAsia" w:cs="Times New Roman"/>
                <w:sz w:val="24"/>
                <w:szCs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672" w:type="dxa"/>
            <w:vAlign w:val="center"/>
          </w:tcPr>
          <w:p>
            <w:pPr>
              <w:ind w:firstLine="0" w:firstLineChars="0"/>
              <w:jc w:val="center"/>
              <w:rPr>
                <w:rFonts w:cs="Times New Roman"/>
                <w:sz w:val="24"/>
                <w:szCs w:val="24"/>
              </w:rPr>
            </w:pPr>
            <w:r>
              <w:rPr>
                <w:rFonts w:cs="Times New Roman"/>
                <w:sz w:val="24"/>
                <w:szCs w:val="24"/>
              </w:rPr>
              <w:t>8</w:t>
            </w:r>
          </w:p>
        </w:tc>
        <w:tc>
          <w:tcPr>
            <w:tcW w:w="567" w:type="dxa"/>
            <w:vMerge w:val="continue"/>
            <w:vAlign w:val="center"/>
          </w:tcPr>
          <w:p>
            <w:pPr>
              <w:ind w:firstLine="0" w:firstLineChars="0"/>
              <w:jc w:val="center"/>
              <w:rPr>
                <w:rFonts w:cs="Times New Roman"/>
                <w:sz w:val="24"/>
                <w:szCs w:val="24"/>
              </w:rPr>
            </w:pPr>
          </w:p>
        </w:tc>
        <w:tc>
          <w:tcPr>
            <w:tcW w:w="3118" w:type="dxa"/>
            <w:vAlign w:val="center"/>
          </w:tcPr>
          <w:p>
            <w:pPr>
              <w:ind w:firstLine="0" w:firstLineChars="0"/>
              <w:jc w:val="center"/>
              <w:rPr>
                <w:rFonts w:cs="Times New Roman"/>
                <w:sz w:val="24"/>
                <w:szCs w:val="24"/>
              </w:rPr>
            </w:pPr>
            <w:r>
              <w:rPr>
                <w:rFonts w:cs="Times New Roman"/>
                <w:sz w:val="24"/>
                <w:szCs w:val="24"/>
              </w:rPr>
              <w:t>24</w:t>
            </w:r>
            <w:r>
              <w:rPr>
                <w:rFonts w:hint="eastAsia" w:cs="Times New Roman"/>
                <w:sz w:val="24"/>
                <w:szCs w:val="24"/>
              </w:rPr>
              <w:t>小时气温预报准确率</w:t>
            </w:r>
          </w:p>
        </w:tc>
        <w:tc>
          <w:tcPr>
            <w:tcW w:w="1536" w:type="dxa"/>
            <w:vAlign w:val="center"/>
          </w:tcPr>
          <w:p>
            <w:pPr>
              <w:ind w:firstLine="0" w:firstLineChars="0"/>
              <w:jc w:val="center"/>
              <w:rPr>
                <w:rFonts w:cs="Times New Roman"/>
                <w:sz w:val="24"/>
                <w:szCs w:val="24"/>
              </w:rPr>
            </w:pPr>
            <w:r>
              <w:rPr>
                <w:rFonts w:cs="Times New Roman"/>
                <w:sz w:val="24"/>
                <w:szCs w:val="24"/>
              </w:rPr>
              <w:t>77.0%</w:t>
            </w:r>
          </w:p>
        </w:tc>
        <w:tc>
          <w:tcPr>
            <w:tcW w:w="1763" w:type="dxa"/>
            <w:vAlign w:val="center"/>
          </w:tcPr>
          <w:p>
            <w:pPr>
              <w:ind w:firstLine="0" w:firstLineChars="0"/>
              <w:jc w:val="center"/>
              <w:rPr>
                <w:rFonts w:cs="Times New Roman"/>
                <w:sz w:val="24"/>
                <w:szCs w:val="24"/>
              </w:rPr>
            </w:pPr>
            <w:r>
              <w:rPr>
                <w:rFonts w:cs="Times New Roman"/>
                <w:sz w:val="24"/>
                <w:szCs w:val="24"/>
              </w:rPr>
              <w:t>82%</w:t>
            </w:r>
          </w:p>
        </w:tc>
        <w:tc>
          <w:tcPr>
            <w:tcW w:w="954" w:type="dxa"/>
          </w:tcPr>
          <w:p>
            <w:pPr>
              <w:ind w:firstLine="0" w:firstLineChars="0"/>
              <w:jc w:val="center"/>
            </w:pPr>
            <w:r>
              <w:rPr>
                <w:rFonts w:hint="eastAsia" w:cs="Times New Roman"/>
                <w:sz w:val="24"/>
                <w:szCs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672" w:type="dxa"/>
            <w:vAlign w:val="center"/>
          </w:tcPr>
          <w:p>
            <w:pPr>
              <w:ind w:firstLine="0" w:firstLineChars="0"/>
              <w:jc w:val="center"/>
              <w:rPr>
                <w:rFonts w:cs="Times New Roman"/>
                <w:sz w:val="24"/>
                <w:szCs w:val="24"/>
              </w:rPr>
            </w:pPr>
            <w:r>
              <w:rPr>
                <w:rFonts w:cs="Times New Roman"/>
                <w:sz w:val="24"/>
                <w:szCs w:val="24"/>
              </w:rPr>
              <w:t>9</w:t>
            </w:r>
          </w:p>
        </w:tc>
        <w:tc>
          <w:tcPr>
            <w:tcW w:w="567" w:type="dxa"/>
            <w:vMerge w:val="restart"/>
            <w:vAlign w:val="center"/>
          </w:tcPr>
          <w:p>
            <w:pPr>
              <w:ind w:firstLine="0" w:firstLineChars="0"/>
              <w:jc w:val="center"/>
              <w:rPr>
                <w:rFonts w:cs="Times New Roman"/>
                <w:sz w:val="24"/>
                <w:szCs w:val="24"/>
              </w:rPr>
            </w:pPr>
            <w:r>
              <w:rPr>
                <w:rFonts w:hint="eastAsia" w:cs="Times New Roman"/>
                <w:sz w:val="24"/>
                <w:szCs w:val="24"/>
              </w:rPr>
              <w:t>服务精细</w:t>
            </w:r>
          </w:p>
        </w:tc>
        <w:tc>
          <w:tcPr>
            <w:tcW w:w="3118" w:type="dxa"/>
            <w:vAlign w:val="center"/>
          </w:tcPr>
          <w:p>
            <w:pPr>
              <w:ind w:firstLine="0" w:firstLineChars="0"/>
              <w:jc w:val="center"/>
              <w:rPr>
                <w:rFonts w:cs="Times New Roman"/>
                <w:sz w:val="24"/>
                <w:szCs w:val="24"/>
              </w:rPr>
            </w:pPr>
            <w:r>
              <w:rPr>
                <w:rFonts w:hint="eastAsia" w:cs="Times New Roman"/>
                <w:sz w:val="24"/>
                <w:szCs w:val="24"/>
              </w:rPr>
              <w:t>公众气象服务满意度</w:t>
            </w:r>
          </w:p>
        </w:tc>
        <w:tc>
          <w:tcPr>
            <w:tcW w:w="1536" w:type="dxa"/>
            <w:vAlign w:val="center"/>
          </w:tcPr>
          <w:p>
            <w:pPr>
              <w:ind w:firstLine="0" w:firstLineChars="0"/>
              <w:jc w:val="center"/>
              <w:rPr>
                <w:rFonts w:cs="Times New Roman"/>
                <w:sz w:val="24"/>
                <w:szCs w:val="24"/>
              </w:rPr>
            </w:pPr>
            <w:r>
              <w:rPr>
                <w:rFonts w:cs="Times New Roman"/>
                <w:sz w:val="24"/>
                <w:szCs w:val="24"/>
              </w:rPr>
              <w:t>90</w:t>
            </w:r>
            <w:r>
              <w:rPr>
                <w:rFonts w:hint="eastAsia" w:cs="Times New Roman"/>
                <w:sz w:val="24"/>
                <w:szCs w:val="24"/>
              </w:rPr>
              <w:t>分</w:t>
            </w:r>
          </w:p>
        </w:tc>
        <w:tc>
          <w:tcPr>
            <w:tcW w:w="1763" w:type="dxa"/>
            <w:vAlign w:val="center"/>
          </w:tcPr>
          <w:p>
            <w:pPr>
              <w:ind w:firstLine="0" w:firstLineChars="0"/>
              <w:jc w:val="center"/>
              <w:rPr>
                <w:rFonts w:cs="Times New Roman"/>
                <w:sz w:val="24"/>
                <w:szCs w:val="24"/>
              </w:rPr>
            </w:pPr>
            <w:r>
              <w:rPr>
                <w:rFonts w:cs="Times New Roman"/>
                <w:sz w:val="24"/>
                <w:szCs w:val="24"/>
              </w:rPr>
              <w:t>保持90</w:t>
            </w:r>
            <w:r>
              <w:rPr>
                <w:rFonts w:hint="eastAsia" w:cs="Times New Roman"/>
                <w:sz w:val="24"/>
                <w:szCs w:val="24"/>
              </w:rPr>
              <w:t xml:space="preserve">分以上 </w:t>
            </w:r>
          </w:p>
        </w:tc>
        <w:tc>
          <w:tcPr>
            <w:tcW w:w="954" w:type="dxa"/>
          </w:tcPr>
          <w:p>
            <w:pPr>
              <w:ind w:firstLine="0" w:firstLineChars="0"/>
              <w:jc w:val="center"/>
              <w:rPr>
                <w:rFonts w:cs="Times New Roman"/>
                <w:sz w:val="24"/>
                <w:szCs w:val="24"/>
              </w:rPr>
            </w:pPr>
            <w:r>
              <w:rPr>
                <w:rFonts w:hint="eastAsia" w:cs="Times New Roman"/>
                <w:sz w:val="24"/>
                <w:szCs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672" w:type="dxa"/>
            <w:vAlign w:val="center"/>
          </w:tcPr>
          <w:p>
            <w:pPr>
              <w:ind w:firstLine="0" w:firstLineChars="0"/>
              <w:jc w:val="center"/>
              <w:rPr>
                <w:rFonts w:cs="Times New Roman"/>
                <w:sz w:val="24"/>
                <w:szCs w:val="24"/>
              </w:rPr>
            </w:pPr>
            <w:r>
              <w:rPr>
                <w:rFonts w:cs="Times New Roman"/>
                <w:sz w:val="24"/>
                <w:szCs w:val="24"/>
              </w:rPr>
              <w:t>10</w:t>
            </w:r>
          </w:p>
        </w:tc>
        <w:tc>
          <w:tcPr>
            <w:tcW w:w="567" w:type="dxa"/>
            <w:vMerge w:val="continue"/>
            <w:vAlign w:val="center"/>
          </w:tcPr>
          <w:p>
            <w:pPr>
              <w:ind w:firstLine="0" w:firstLineChars="0"/>
              <w:jc w:val="center"/>
              <w:rPr>
                <w:rFonts w:cs="Times New Roman"/>
                <w:sz w:val="24"/>
                <w:szCs w:val="24"/>
              </w:rPr>
            </w:pPr>
          </w:p>
        </w:tc>
        <w:tc>
          <w:tcPr>
            <w:tcW w:w="3118" w:type="dxa"/>
            <w:vAlign w:val="center"/>
          </w:tcPr>
          <w:p>
            <w:pPr>
              <w:ind w:firstLine="0" w:firstLineChars="0"/>
              <w:jc w:val="center"/>
              <w:rPr>
                <w:rFonts w:cs="Times New Roman"/>
                <w:sz w:val="24"/>
                <w:szCs w:val="24"/>
              </w:rPr>
            </w:pPr>
            <w:r>
              <w:rPr>
                <w:rFonts w:hint="eastAsia" w:cs="Times New Roman"/>
                <w:sz w:val="24"/>
                <w:szCs w:val="24"/>
              </w:rPr>
              <w:t>气象灾害风险服务灾种覆盖率</w:t>
            </w:r>
          </w:p>
        </w:tc>
        <w:tc>
          <w:tcPr>
            <w:tcW w:w="1536" w:type="dxa"/>
            <w:vAlign w:val="center"/>
          </w:tcPr>
          <w:p>
            <w:pPr>
              <w:ind w:firstLine="0" w:firstLineChars="0"/>
              <w:jc w:val="center"/>
              <w:rPr>
                <w:rFonts w:cs="Times New Roman"/>
                <w:sz w:val="24"/>
                <w:szCs w:val="24"/>
              </w:rPr>
            </w:pPr>
            <w:r>
              <w:rPr>
                <w:rFonts w:cs="Times New Roman"/>
                <w:sz w:val="24"/>
                <w:szCs w:val="24"/>
              </w:rPr>
              <w:t>12%</w:t>
            </w:r>
          </w:p>
        </w:tc>
        <w:tc>
          <w:tcPr>
            <w:tcW w:w="1763" w:type="dxa"/>
            <w:vAlign w:val="center"/>
          </w:tcPr>
          <w:p>
            <w:pPr>
              <w:ind w:firstLine="0" w:firstLineChars="0"/>
              <w:jc w:val="center"/>
              <w:rPr>
                <w:rFonts w:cs="Times New Roman"/>
                <w:sz w:val="24"/>
                <w:szCs w:val="24"/>
              </w:rPr>
            </w:pPr>
            <w:r>
              <w:rPr>
                <w:rFonts w:cs="Times New Roman"/>
                <w:sz w:val="24"/>
                <w:szCs w:val="24"/>
              </w:rPr>
              <w:t>80%</w:t>
            </w:r>
          </w:p>
        </w:tc>
        <w:tc>
          <w:tcPr>
            <w:tcW w:w="954" w:type="dxa"/>
          </w:tcPr>
          <w:p>
            <w:pPr>
              <w:ind w:firstLine="0" w:firstLineChars="0"/>
              <w:jc w:val="center"/>
              <w:rPr>
                <w:rFonts w:cs="Times New Roman"/>
                <w:sz w:val="24"/>
                <w:szCs w:val="24"/>
              </w:rPr>
            </w:pPr>
            <w:r>
              <w:rPr>
                <w:rFonts w:hint="eastAsia" w:cs="Times New Roman"/>
                <w:sz w:val="24"/>
                <w:szCs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672" w:type="dxa"/>
            <w:vAlign w:val="center"/>
          </w:tcPr>
          <w:p>
            <w:pPr>
              <w:ind w:firstLine="0" w:firstLineChars="0"/>
              <w:jc w:val="center"/>
              <w:rPr>
                <w:rFonts w:cs="Times New Roman"/>
                <w:sz w:val="24"/>
                <w:szCs w:val="24"/>
              </w:rPr>
            </w:pPr>
            <w:r>
              <w:rPr>
                <w:rFonts w:cs="Times New Roman"/>
                <w:sz w:val="24"/>
                <w:szCs w:val="24"/>
              </w:rPr>
              <w:t>11</w:t>
            </w:r>
          </w:p>
        </w:tc>
        <w:tc>
          <w:tcPr>
            <w:tcW w:w="567" w:type="dxa"/>
            <w:vMerge w:val="continue"/>
            <w:vAlign w:val="center"/>
          </w:tcPr>
          <w:p>
            <w:pPr>
              <w:ind w:firstLine="0" w:firstLineChars="0"/>
              <w:jc w:val="center"/>
              <w:rPr>
                <w:rFonts w:cs="Times New Roman"/>
                <w:sz w:val="24"/>
                <w:szCs w:val="24"/>
              </w:rPr>
            </w:pPr>
          </w:p>
        </w:tc>
        <w:tc>
          <w:tcPr>
            <w:tcW w:w="3118" w:type="dxa"/>
            <w:vAlign w:val="center"/>
          </w:tcPr>
          <w:p>
            <w:pPr>
              <w:ind w:firstLine="0" w:firstLineChars="0"/>
              <w:jc w:val="center"/>
              <w:rPr>
                <w:rFonts w:cs="Times New Roman"/>
                <w:sz w:val="24"/>
                <w:szCs w:val="24"/>
              </w:rPr>
            </w:pPr>
            <w:r>
              <w:rPr>
                <w:rFonts w:hint="eastAsia" w:cs="Times New Roman"/>
                <w:sz w:val="24"/>
                <w:szCs w:val="24"/>
              </w:rPr>
              <w:t>气象防灾减灾标准化村（社区）建成率</w:t>
            </w:r>
          </w:p>
        </w:tc>
        <w:tc>
          <w:tcPr>
            <w:tcW w:w="1536" w:type="dxa"/>
            <w:vAlign w:val="center"/>
          </w:tcPr>
          <w:p>
            <w:pPr>
              <w:ind w:firstLine="0" w:firstLineChars="0"/>
              <w:jc w:val="center"/>
              <w:rPr>
                <w:rFonts w:cs="Times New Roman"/>
                <w:sz w:val="24"/>
                <w:szCs w:val="24"/>
              </w:rPr>
            </w:pPr>
            <w:r>
              <w:rPr>
                <w:rFonts w:hint="eastAsia" w:cs="Times New Roman"/>
                <w:sz w:val="24"/>
                <w:szCs w:val="24"/>
              </w:rPr>
              <w:t>3</w:t>
            </w:r>
            <w:r>
              <w:rPr>
                <w:rFonts w:cs="Times New Roman"/>
                <w:sz w:val="24"/>
                <w:szCs w:val="24"/>
              </w:rPr>
              <w:t>0.12%</w:t>
            </w:r>
          </w:p>
        </w:tc>
        <w:tc>
          <w:tcPr>
            <w:tcW w:w="1763" w:type="dxa"/>
            <w:vAlign w:val="center"/>
          </w:tcPr>
          <w:p>
            <w:pPr>
              <w:ind w:firstLine="0" w:firstLineChars="0"/>
              <w:jc w:val="center"/>
              <w:rPr>
                <w:rFonts w:cs="Times New Roman"/>
                <w:sz w:val="24"/>
                <w:szCs w:val="24"/>
              </w:rPr>
            </w:pPr>
            <w:r>
              <w:rPr>
                <w:rFonts w:cs="Times New Roman"/>
                <w:sz w:val="24"/>
                <w:szCs w:val="24"/>
              </w:rPr>
              <w:t>70%</w:t>
            </w:r>
          </w:p>
        </w:tc>
        <w:tc>
          <w:tcPr>
            <w:tcW w:w="954" w:type="dxa"/>
          </w:tcPr>
          <w:p>
            <w:pPr>
              <w:ind w:firstLine="0" w:firstLineChars="0"/>
              <w:jc w:val="center"/>
              <w:rPr>
                <w:rFonts w:cs="Times New Roman"/>
                <w:sz w:val="24"/>
                <w:szCs w:val="24"/>
              </w:rPr>
            </w:pPr>
            <w:r>
              <w:rPr>
                <w:rFonts w:hint="eastAsia" w:cs="Times New Roman"/>
                <w:sz w:val="24"/>
                <w:szCs w:val="24"/>
              </w:rPr>
              <w:t>约束性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672" w:type="dxa"/>
            <w:vAlign w:val="center"/>
          </w:tcPr>
          <w:p>
            <w:pPr>
              <w:ind w:firstLine="0" w:firstLineChars="0"/>
              <w:jc w:val="center"/>
              <w:rPr>
                <w:rFonts w:cs="Times New Roman"/>
                <w:sz w:val="24"/>
                <w:szCs w:val="24"/>
              </w:rPr>
            </w:pPr>
            <w:r>
              <w:rPr>
                <w:rFonts w:hint="eastAsia" w:cs="Times New Roman"/>
                <w:sz w:val="24"/>
                <w:szCs w:val="24"/>
              </w:rPr>
              <w:t>1</w:t>
            </w:r>
            <w:r>
              <w:rPr>
                <w:rFonts w:cs="Times New Roman"/>
                <w:sz w:val="24"/>
                <w:szCs w:val="24"/>
              </w:rPr>
              <w:t>2</w:t>
            </w:r>
          </w:p>
        </w:tc>
        <w:tc>
          <w:tcPr>
            <w:tcW w:w="567" w:type="dxa"/>
            <w:vMerge w:val="continue"/>
            <w:vAlign w:val="center"/>
          </w:tcPr>
          <w:p>
            <w:pPr>
              <w:ind w:firstLine="0" w:firstLineChars="0"/>
              <w:jc w:val="center"/>
              <w:rPr>
                <w:rFonts w:cs="Times New Roman"/>
                <w:sz w:val="24"/>
                <w:szCs w:val="24"/>
              </w:rPr>
            </w:pPr>
          </w:p>
        </w:tc>
        <w:tc>
          <w:tcPr>
            <w:tcW w:w="3118" w:type="dxa"/>
            <w:vAlign w:val="center"/>
          </w:tcPr>
          <w:p>
            <w:pPr>
              <w:ind w:firstLine="0" w:firstLineChars="0"/>
              <w:jc w:val="center"/>
              <w:rPr>
                <w:rFonts w:cs="Times New Roman"/>
                <w:sz w:val="24"/>
                <w:szCs w:val="24"/>
              </w:rPr>
            </w:pPr>
            <w:r>
              <w:rPr>
                <w:rFonts w:hint="eastAsia" w:cs="Times New Roman"/>
                <w:sz w:val="24"/>
                <w:szCs w:val="24"/>
              </w:rPr>
              <w:t>主导农产业全链条数字化气象服务覆盖率</w:t>
            </w:r>
          </w:p>
        </w:tc>
        <w:tc>
          <w:tcPr>
            <w:tcW w:w="1536" w:type="dxa"/>
            <w:vAlign w:val="center"/>
          </w:tcPr>
          <w:p>
            <w:pPr>
              <w:ind w:firstLine="0" w:firstLineChars="0"/>
              <w:jc w:val="center"/>
              <w:rPr>
                <w:rFonts w:cs="Times New Roman"/>
                <w:sz w:val="24"/>
                <w:szCs w:val="24"/>
              </w:rPr>
            </w:pPr>
            <w:r>
              <w:rPr>
                <w:rFonts w:cs="Times New Roman"/>
                <w:sz w:val="24"/>
                <w:szCs w:val="24"/>
              </w:rPr>
              <w:t>20%</w:t>
            </w:r>
          </w:p>
        </w:tc>
        <w:tc>
          <w:tcPr>
            <w:tcW w:w="1763" w:type="dxa"/>
            <w:vAlign w:val="center"/>
          </w:tcPr>
          <w:p>
            <w:pPr>
              <w:ind w:firstLine="0" w:firstLineChars="0"/>
              <w:jc w:val="center"/>
              <w:rPr>
                <w:rFonts w:cs="Times New Roman"/>
                <w:sz w:val="24"/>
                <w:szCs w:val="24"/>
              </w:rPr>
            </w:pPr>
            <w:r>
              <w:rPr>
                <w:rFonts w:cs="Times New Roman"/>
                <w:sz w:val="24"/>
                <w:szCs w:val="24"/>
              </w:rPr>
              <w:t>60%</w:t>
            </w:r>
          </w:p>
        </w:tc>
        <w:tc>
          <w:tcPr>
            <w:tcW w:w="954" w:type="dxa"/>
          </w:tcPr>
          <w:p>
            <w:pPr>
              <w:ind w:firstLine="0" w:firstLineChars="0"/>
              <w:jc w:val="center"/>
              <w:rPr>
                <w:rFonts w:cs="Times New Roman"/>
                <w:sz w:val="24"/>
                <w:szCs w:val="24"/>
              </w:rPr>
            </w:pPr>
            <w:r>
              <w:rPr>
                <w:rFonts w:hint="eastAsia" w:cs="Times New Roman"/>
                <w:sz w:val="24"/>
                <w:szCs w:val="24"/>
              </w:rPr>
              <w:t>预期性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672" w:type="dxa"/>
            <w:vAlign w:val="center"/>
          </w:tcPr>
          <w:p>
            <w:pPr>
              <w:ind w:firstLine="0" w:firstLineChars="0"/>
              <w:jc w:val="center"/>
              <w:rPr>
                <w:rFonts w:cs="Times New Roman"/>
                <w:sz w:val="24"/>
                <w:szCs w:val="24"/>
              </w:rPr>
            </w:pPr>
            <w:r>
              <w:rPr>
                <w:rFonts w:hint="eastAsia" w:cs="Times New Roman"/>
                <w:sz w:val="24"/>
                <w:szCs w:val="24"/>
              </w:rPr>
              <w:t>1</w:t>
            </w:r>
            <w:r>
              <w:rPr>
                <w:rFonts w:cs="Times New Roman"/>
                <w:sz w:val="24"/>
                <w:szCs w:val="24"/>
              </w:rPr>
              <w:t>3</w:t>
            </w:r>
          </w:p>
        </w:tc>
        <w:tc>
          <w:tcPr>
            <w:tcW w:w="567" w:type="dxa"/>
            <w:vMerge w:val="continue"/>
            <w:vAlign w:val="center"/>
          </w:tcPr>
          <w:p>
            <w:pPr>
              <w:ind w:firstLine="0" w:firstLineChars="0"/>
              <w:jc w:val="center"/>
              <w:rPr>
                <w:rFonts w:cs="Times New Roman"/>
                <w:sz w:val="24"/>
                <w:szCs w:val="24"/>
              </w:rPr>
            </w:pPr>
          </w:p>
        </w:tc>
        <w:tc>
          <w:tcPr>
            <w:tcW w:w="3118" w:type="dxa"/>
            <w:vAlign w:val="center"/>
          </w:tcPr>
          <w:p>
            <w:pPr>
              <w:ind w:firstLine="0" w:firstLineChars="0"/>
              <w:jc w:val="center"/>
              <w:rPr>
                <w:rFonts w:cs="Times New Roman"/>
                <w:sz w:val="24"/>
                <w:szCs w:val="24"/>
              </w:rPr>
            </w:pPr>
            <w:r>
              <w:rPr>
                <w:rFonts w:hint="eastAsia" w:cs="Times New Roman"/>
                <w:sz w:val="24"/>
                <w:szCs w:val="24"/>
              </w:rPr>
              <w:t>防雷安全智慧化监管水平</w:t>
            </w:r>
          </w:p>
        </w:tc>
        <w:tc>
          <w:tcPr>
            <w:tcW w:w="1536" w:type="dxa"/>
            <w:vAlign w:val="center"/>
          </w:tcPr>
          <w:p>
            <w:pPr>
              <w:ind w:firstLine="0" w:firstLineChars="0"/>
              <w:jc w:val="center"/>
              <w:rPr>
                <w:rFonts w:cs="Times New Roman"/>
                <w:sz w:val="24"/>
                <w:szCs w:val="24"/>
              </w:rPr>
            </w:pPr>
            <w:r>
              <w:rPr>
                <w:rFonts w:hint="eastAsia" w:cs="Times New Roman"/>
                <w:sz w:val="24"/>
                <w:szCs w:val="24"/>
              </w:rPr>
              <w:t>30%</w:t>
            </w:r>
          </w:p>
        </w:tc>
        <w:tc>
          <w:tcPr>
            <w:tcW w:w="1763" w:type="dxa"/>
            <w:vAlign w:val="center"/>
          </w:tcPr>
          <w:p>
            <w:pPr>
              <w:ind w:firstLine="0" w:firstLineChars="0"/>
              <w:jc w:val="center"/>
              <w:rPr>
                <w:rFonts w:cs="Times New Roman"/>
                <w:sz w:val="24"/>
                <w:szCs w:val="24"/>
              </w:rPr>
            </w:pPr>
            <w:r>
              <w:rPr>
                <w:rFonts w:hint="eastAsia" w:cs="Times New Roman"/>
                <w:sz w:val="24"/>
                <w:szCs w:val="24"/>
              </w:rPr>
              <w:t>80%</w:t>
            </w:r>
          </w:p>
        </w:tc>
        <w:tc>
          <w:tcPr>
            <w:tcW w:w="954" w:type="dxa"/>
          </w:tcPr>
          <w:p>
            <w:pPr>
              <w:ind w:firstLine="0" w:firstLineChars="0"/>
              <w:jc w:val="center"/>
            </w:pPr>
            <w:r>
              <w:rPr>
                <w:rFonts w:hint="eastAsia" w:cs="Times New Roman"/>
                <w:sz w:val="24"/>
                <w:szCs w:val="24"/>
              </w:rPr>
              <w:t>预期性</w:t>
            </w:r>
          </w:p>
        </w:tc>
      </w:tr>
    </w:tbl>
    <w:p>
      <w:pPr>
        <w:ind w:firstLine="0" w:firstLineChars="0"/>
        <w:rPr>
          <w:rFonts w:ascii="仿宋_GB2312" w:cs="Times New Roman"/>
          <w:color w:val="000000" w:themeColor="text1"/>
          <w:sz w:val="28"/>
          <w:szCs w:val="28"/>
          <w14:textFill>
            <w14:solidFill>
              <w14:schemeClr w14:val="tx1"/>
            </w14:solidFill>
          </w14:textFill>
        </w:rPr>
      </w:pPr>
    </w:p>
    <w:p>
      <w:pPr>
        <w:pStyle w:val="2"/>
        <w:ind w:firstLine="643"/>
        <w:rPr>
          <w:rFonts w:hint="eastAsia" w:ascii="黑体" w:hAnsi="黑体" w:eastAsia="黑体" w:cs="黑体"/>
          <w:b w:val="0"/>
          <w:bCs w:val="0"/>
          <w:color w:val="000000" w:themeColor="text1"/>
          <w:sz w:val="32"/>
          <w:szCs w:val="32"/>
          <w14:textFill>
            <w14:solidFill>
              <w14:schemeClr w14:val="tx1"/>
            </w14:solidFill>
          </w14:textFill>
        </w:rPr>
      </w:pPr>
      <w:bookmarkStart w:id="8" w:name="_Toc75160694"/>
      <w:r>
        <w:rPr>
          <w:rFonts w:hint="eastAsia" w:ascii="黑体" w:hAnsi="黑体" w:eastAsia="黑体" w:cs="黑体"/>
          <w:b w:val="0"/>
          <w:bCs w:val="0"/>
          <w:color w:val="000000" w:themeColor="text1"/>
          <w:sz w:val="32"/>
          <w:szCs w:val="32"/>
          <w14:textFill>
            <w14:solidFill>
              <w14:schemeClr w14:val="tx1"/>
            </w14:solidFill>
          </w14:textFill>
        </w:rPr>
        <w:t>三、主要任务</w:t>
      </w:r>
      <w:bookmarkEnd w:id="8"/>
    </w:p>
    <w:p>
      <w:pPr>
        <w:pStyle w:val="3"/>
        <w:ind w:firstLine="452"/>
        <w:rPr>
          <w:rFonts w:hint="eastAsia" w:ascii="华文楷体" w:hAnsi="华文楷体" w:eastAsia="华文楷体" w:cs="华文楷体"/>
        </w:rPr>
      </w:pPr>
      <w:bookmarkStart w:id="9" w:name="_Toc75160695"/>
      <w:bookmarkStart w:id="10" w:name="_Toc46597694"/>
      <w:r>
        <w:rPr>
          <w:rFonts w:hint="eastAsia" w:ascii="华文楷体" w:hAnsi="华文楷体" w:eastAsia="华文楷体" w:cs="华文楷体"/>
        </w:rPr>
        <w:t>（一）守好第一道防线，服务慈溪美丽幸福城市建设</w:t>
      </w:r>
      <w:bookmarkEnd w:id="9"/>
      <w:bookmarkEnd w:id="10"/>
    </w:p>
    <w:p>
      <w:pPr>
        <w:ind w:firstLine="562"/>
        <w:rPr>
          <w:rFonts w:ascii="仿宋_GB2312" w:cs="Times New Roman"/>
          <w:b/>
          <w:sz w:val="28"/>
          <w:szCs w:val="28"/>
        </w:rPr>
      </w:pPr>
      <w:r>
        <w:rPr>
          <w:rFonts w:hint="eastAsia" w:ascii="仿宋_GB2312" w:cs="Times New Roman"/>
          <w:b/>
          <w:sz w:val="28"/>
          <w:szCs w:val="28"/>
        </w:rPr>
        <w:t>1.构建气象灾害风险防范体系</w:t>
      </w:r>
    </w:p>
    <w:p>
      <w:pPr>
        <w:ind w:firstLine="560"/>
        <w:rPr>
          <w:rFonts w:ascii="仿宋_GB2312" w:cs="Times New Roman"/>
          <w:sz w:val="28"/>
          <w:szCs w:val="28"/>
        </w:rPr>
      </w:pPr>
      <w:r>
        <w:rPr>
          <w:rFonts w:hint="eastAsia" w:ascii="仿宋_GB2312" w:cs="Times New Roman"/>
          <w:sz w:val="28"/>
          <w:szCs w:val="28"/>
        </w:rPr>
        <w:t>开展精细化气象灾害风险普查，加强定量化气象灾害风险评估方法和模型应用，提高气象灾害风险实时动态研判能力。推广暴雨强度公式在海绵城市建设中的应用，提高城市应对暴雨、内涝等气象灾害的能力。强化防灾减灾科普宣教，推动社区、企事业单位和学校等人员密集场所定期开展气象防灾减灾救灾群众性应急演练，强化人民群众气象灾害风险防范意识。</w:t>
      </w:r>
    </w:p>
    <w:p>
      <w:pPr>
        <w:ind w:firstLine="562"/>
        <w:rPr>
          <w:rFonts w:ascii="仿宋_GB2312" w:cs="Times New Roman"/>
          <w:b/>
          <w:sz w:val="28"/>
          <w:szCs w:val="28"/>
        </w:rPr>
      </w:pPr>
      <w:r>
        <w:rPr>
          <w:rFonts w:hint="eastAsia" w:ascii="仿宋_GB2312" w:cs="Times New Roman"/>
          <w:b/>
          <w:sz w:val="28"/>
          <w:szCs w:val="28"/>
        </w:rPr>
        <w:t>2.完善气象防灾减灾组织体系</w:t>
      </w:r>
    </w:p>
    <w:p>
      <w:pPr>
        <w:ind w:firstLine="560"/>
        <w:rPr>
          <w:rFonts w:ascii="仿宋_GB2312" w:cs="Times New Roman"/>
          <w:sz w:val="28"/>
          <w:szCs w:val="28"/>
        </w:rPr>
      </w:pPr>
      <w:r>
        <w:rPr>
          <w:rFonts w:hint="eastAsia" w:ascii="仿宋_GB2312" w:cs="Times New Roman"/>
          <w:sz w:val="28"/>
          <w:szCs w:val="28"/>
        </w:rPr>
        <w:t>明确乡（镇）级政府气象防灾减灾救灾管理职能，建立“网格化管理、直通式服务、多元化参与”的气象防灾减灾救灾基层网格化组织体系，深化实施气象防灾减灾“六个一”和“六个能力提升”强基行动。健全分灾种气象灾害应急预案体系，推进气象灾害应急行动计划向村（社区）延伸和普及。健全气象防灾减灾救灾部门联动机制，完善气象防灾减灾救灾多部门技术合作机制，加快部门间的减灾资源统筹规划和共建共享，实现防灾减灾救灾工作部署、应急指挥、舆情应对的联动协同。</w:t>
      </w:r>
    </w:p>
    <w:p>
      <w:pPr>
        <w:ind w:firstLine="562"/>
        <w:rPr>
          <w:rFonts w:ascii="仿宋_GB2312" w:cs="Times New Roman"/>
          <w:b/>
          <w:sz w:val="28"/>
          <w:szCs w:val="28"/>
        </w:rPr>
      </w:pPr>
      <w:r>
        <w:rPr>
          <w:rFonts w:hint="eastAsia" w:ascii="仿宋_GB2312" w:cs="Times New Roman"/>
          <w:b/>
          <w:sz w:val="28"/>
          <w:szCs w:val="28"/>
        </w:rPr>
        <w:t>3.优化气象预报预警服务能力</w:t>
      </w:r>
    </w:p>
    <w:p>
      <w:pPr>
        <w:ind w:firstLine="560"/>
        <w:rPr>
          <w:rFonts w:ascii="仿宋_GB2312" w:cs="Times New Roman"/>
          <w:sz w:val="28"/>
          <w:szCs w:val="28"/>
        </w:rPr>
      </w:pPr>
      <w:r>
        <w:rPr>
          <w:rFonts w:hint="eastAsia" w:ascii="仿宋_GB2312" w:cs="Times New Roman"/>
          <w:sz w:val="28"/>
          <w:szCs w:val="28"/>
        </w:rPr>
        <w:t>依托省级、市级政务平台，开展决策服务要素信息的自动监测、统计、分析，提升重大灾害性天气过程决策气象服务能力。加强气象与水利、能源供应、农业生产、交通、公安和城市运行等大数据的深度融合，实现气象灾害影响预报和风险预警产品的智能化制作；同时利用移动式交互、智能定向信息发布等新型信息传播手段，开展基于位置的气象服务信息靶向推送技术应用，实现气象灾害影响预报和风险预警产品向敏感地区、行业、人群用户的靶向发布和传播。</w:t>
      </w:r>
    </w:p>
    <w:p>
      <w:pPr>
        <w:ind w:firstLine="562"/>
        <w:rPr>
          <w:rFonts w:ascii="仿宋_GB2312" w:cs="Times New Roman"/>
          <w:b/>
          <w:sz w:val="28"/>
          <w:szCs w:val="28"/>
        </w:rPr>
      </w:pPr>
      <w:r>
        <w:rPr>
          <w:rFonts w:hint="eastAsia" w:ascii="仿宋_GB2312" w:cs="Times New Roman"/>
          <w:b/>
          <w:sz w:val="28"/>
          <w:szCs w:val="28"/>
        </w:rPr>
        <w:t>4.健全突发事件预警信息发布机制</w:t>
      </w:r>
    </w:p>
    <w:p>
      <w:pPr>
        <w:ind w:firstLine="560"/>
        <w:rPr>
          <w:rFonts w:ascii="仿宋_GB2312" w:cs="Times New Roman"/>
          <w:sz w:val="28"/>
          <w:szCs w:val="28"/>
        </w:rPr>
      </w:pPr>
      <w:r>
        <w:rPr>
          <w:rFonts w:hint="eastAsia" w:ascii="仿宋_GB2312" w:cs="Times New Roman"/>
          <w:sz w:val="28"/>
          <w:szCs w:val="28"/>
        </w:rPr>
        <w:t>依托省级、市级突发事件预警信息发布系统，推进县级突发事件预警信息发布系统建设，实现省市县突发事件预警信息发布系统一体化和预警信息发布工作机构全覆盖。基于大数据分析技术，汇总气象预警信息、风险信息、应急责任人信息和基础信息，实现突发事件综合风险分析与预警决策。深化与新闻广电、移动通信运营部门间合作，推动预警信息发布融入政府公共信息发布体系。建立健全教育、旅游、交通等重点行业以气象灾害预警为先导的社会应急响应机制。</w:t>
      </w:r>
    </w:p>
    <w:p>
      <w:pPr>
        <w:pStyle w:val="3"/>
        <w:ind w:firstLine="452"/>
        <w:rPr>
          <w:rFonts w:hint="eastAsia" w:ascii="华文楷体" w:hAnsi="华文楷体" w:eastAsia="华文楷体" w:cs="华文楷体"/>
        </w:rPr>
      </w:pPr>
      <w:bookmarkStart w:id="11" w:name="_Toc75160696"/>
      <w:bookmarkStart w:id="12" w:name="_Toc46597695"/>
      <w:r>
        <w:rPr>
          <w:rFonts w:hint="eastAsia" w:ascii="华文楷体" w:hAnsi="华文楷体" w:eastAsia="华文楷体" w:cs="华文楷体"/>
        </w:rPr>
        <w:t>（二）推广</w:t>
      </w:r>
      <w:r>
        <w:rPr>
          <w:rFonts w:hint="eastAsia" w:ascii="华文楷体" w:hAnsi="华文楷体" w:eastAsia="华文楷体" w:cs="华文楷体"/>
          <w:szCs w:val="30"/>
        </w:rPr>
        <w:t>精细化服务，</w:t>
      </w:r>
      <w:r>
        <w:rPr>
          <w:rFonts w:hint="eastAsia" w:ascii="华文楷体" w:hAnsi="华文楷体" w:eastAsia="华文楷体" w:cs="华文楷体"/>
        </w:rPr>
        <w:t>积极融入经济社会发展战略</w:t>
      </w:r>
      <w:bookmarkEnd w:id="11"/>
      <w:bookmarkEnd w:id="12"/>
    </w:p>
    <w:p>
      <w:pPr>
        <w:ind w:firstLine="562"/>
        <w:rPr>
          <w:rFonts w:ascii="仿宋_GB2312" w:cs="Times New Roman"/>
          <w:b/>
          <w:sz w:val="28"/>
          <w:szCs w:val="28"/>
        </w:rPr>
      </w:pPr>
      <w:r>
        <w:rPr>
          <w:rFonts w:ascii="仿宋_GB2312" w:cs="Times New Roman"/>
          <w:b/>
          <w:sz w:val="28"/>
          <w:szCs w:val="28"/>
        </w:rPr>
        <w:t>1</w:t>
      </w:r>
      <w:r>
        <w:rPr>
          <w:rFonts w:hint="eastAsia" w:ascii="仿宋_GB2312" w:cs="Times New Roman"/>
          <w:b/>
          <w:sz w:val="28"/>
          <w:szCs w:val="28"/>
        </w:rPr>
        <w:t>.提升气象服务“三农”水平，助力乡村全面振兴</w:t>
      </w:r>
    </w:p>
    <w:p>
      <w:pPr>
        <w:ind w:firstLine="560"/>
        <w:rPr>
          <w:rFonts w:ascii="仿宋_GB2312" w:cs="Times New Roman"/>
          <w:sz w:val="28"/>
          <w:szCs w:val="28"/>
        </w:rPr>
      </w:pPr>
      <w:r>
        <w:rPr>
          <w:rFonts w:hint="eastAsia" w:ascii="仿宋_GB2312" w:cs="Times New Roman"/>
          <w:sz w:val="28"/>
          <w:szCs w:val="28"/>
        </w:rPr>
        <w:t>积极参与地方政府的数字农业、数字乡村建设工作，推进智慧气象与农业生产的深度融合，加大气象保障服务在乡村振兴工作的投入力度。深化一县一品特色农业精细化气象服务，巩固美丽乡村示范点建设成果，启动优势农产品全生长期气象服务策略研究，加强杨梅、黄花梨、草莓、葡萄等传统特色优势农产品科研工作，扩展直通式服务在优势农产品新型农业主体中的覆盖面。参与气象指数保险指标设计，深化天气指数保险服务和技术研究，强化政策性农业保险气象技术支撑。加强现代信息技术在农业气象自动观测、数据分析、产品研发、决策服务等方面的研究和应用。推进农业气象实验室等基础性硬件设施的建设，提高农业气象科研的基础条件和技术水平。通过强化扎实有效的气象为农服务工作，为慈溪奋力打造城乡融合发展先行区、乡村全面振兴示范区、高效生态都市农业引领区“三区”高低，加快建设农业农村现代化先行市，做出气象贡献。</w:t>
      </w:r>
    </w:p>
    <w:p>
      <w:pPr>
        <w:ind w:firstLine="562"/>
        <w:rPr>
          <w:rFonts w:ascii="仿宋_GB2312" w:cs="Times New Roman"/>
          <w:b/>
          <w:sz w:val="28"/>
          <w:szCs w:val="28"/>
        </w:rPr>
      </w:pPr>
      <w:r>
        <w:rPr>
          <w:rFonts w:ascii="仿宋_GB2312" w:cs="Times New Roman"/>
          <w:b/>
          <w:sz w:val="28"/>
          <w:szCs w:val="28"/>
        </w:rPr>
        <w:t>2</w:t>
      </w:r>
      <w:r>
        <w:rPr>
          <w:rFonts w:hint="eastAsia" w:ascii="仿宋_GB2312" w:cs="Times New Roman"/>
          <w:b/>
          <w:sz w:val="28"/>
          <w:szCs w:val="28"/>
        </w:rPr>
        <w:t>.加强生态文明气象保障，完善监测与服务体系</w:t>
      </w:r>
    </w:p>
    <w:p>
      <w:pPr>
        <w:ind w:firstLine="560"/>
        <w:rPr>
          <w:rFonts w:ascii="仿宋_GB2312" w:cs="Times New Roman"/>
          <w:sz w:val="28"/>
          <w:szCs w:val="28"/>
        </w:rPr>
      </w:pPr>
      <w:r>
        <w:rPr>
          <w:rFonts w:hint="eastAsia" w:ascii="仿宋_GB2312" w:cs="Times New Roman"/>
          <w:sz w:val="28"/>
          <w:szCs w:val="28"/>
        </w:rPr>
        <w:t>按照浙江省政府《深化生态文明示范创建高水平建设新时代美丽浙江规划纲要（2</w:t>
      </w:r>
      <w:r>
        <w:rPr>
          <w:rFonts w:ascii="仿宋_GB2312" w:cs="Times New Roman"/>
          <w:sz w:val="28"/>
          <w:szCs w:val="28"/>
        </w:rPr>
        <w:t>020-2035年</w:t>
      </w:r>
      <w:r>
        <w:rPr>
          <w:rFonts w:hint="eastAsia" w:ascii="仿宋_GB2312" w:cs="Times New Roman"/>
          <w:sz w:val="28"/>
          <w:szCs w:val="28"/>
        </w:rPr>
        <w:t>）》精神和浙江省生态气象业务服务能力建设行动计划要求，以及市委</w:t>
      </w:r>
      <w:r>
        <w:rPr>
          <w:rFonts w:hint="eastAsia" w:ascii="仿宋_GB2312" w:cs="Times New Roman"/>
          <w:sz w:val="28"/>
          <w:szCs w:val="28"/>
          <w:lang w:eastAsia="zh-CN"/>
        </w:rPr>
        <w:t>市政府</w:t>
      </w:r>
      <w:r>
        <w:rPr>
          <w:rFonts w:hint="eastAsia" w:ascii="仿宋_GB2312" w:cs="Times New Roman"/>
          <w:sz w:val="28"/>
          <w:szCs w:val="28"/>
        </w:rPr>
        <w:t>深化“森林慈溪”建设要求，建设以杭州湾生态观测站为主站，南部水源涵养区、水土保持区等重要生态空间为辅站，覆盖全市各类型区域的生态气象观测网，提升全市重点生态功能区生态状况气象监测能力。开展气候变化和极端气候事件对生态环境质量、重点行业领域的影响评估和预评估服务，提高生态风险气象预警能力。积极推进“乡村氧吧”、“气候宜居城市”等项目的建设和申报工作，研发生态旅游气象服务产品，强化生态经济气象支撑，为慈溪全域旅游提供气象保障。常态化开展以植被修复、林火预防、水库增蓄水等为目标的生态修复型人工影响天气作业，实现应急减灾型作业与生态修复型作业兼容发展，增强生态治理气象保障服务能力。</w:t>
      </w:r>
    </w:p>
    <w:p>
      <w:pPr>
        <w:ind w:firstLine="562"/>
        <w:rPr>
          <w:rFonts w:ascii="仿宋_GB2312"/>
          <w:b/>
          <w:sz w:val="28"/>
          <w:szCs w:val="28"/>
        </w:rPr>
      </w:pPr>
      <w:r>
        <w:rPr>
          <w:rFonts w:ascii="仿宋_GB2312"/>
          <w:b/>
          <w:sz w:val="28"/>
          <w:szCs w:val="28"/>
        </w:rPr>
        <w:t>3</w:t>
      </w:r>
      <w:r>
        <w:rPr>
          <w:rFonts w:hint="eastAsia" w:ascii="仿宋_GB2312"/>
          <w:b/>
          <w:sz w:val="28"/>
          <w:szCs w:val="28"/>
        </w:rPr>
        <w:t>.加强现场服务能力建设，做好重大活动气象保障</w:t>
      </w:r>
    </w:p>
    <w:p>
      <w:pPr>
        <w:ind w:firstLine="560"/>
        <w:rPr>
          <w:rFonts w:ascii="仿宋_GB2312"/>
          <w:sz w:val="28"/>
          <w:szCs w:val="28"/>
        </w:rPr>
      </w:pPr>
      <w:r>
        <w:rPr>
          <w:rFonts w:hint="eastAsia" w:ascii="仿宋_GB2312"/>
          <w:sz w:val="28"/>
          <w:szCs w:val="28"/>
        </w:rPr>
        <w:t>建设重大经济社会活动现场保障观测系统，优化定点及移动气象探测设备布局，强化重大经济社会活动现场保障气象数据支撑。依托精细化格点预报、数值预报、模拟云图等手段，在常规气象预报基础上，开发短期、短时、临近天气预报预警以及连续跟进式气象服务产品，开展重大经济社会活动场所突发恶劣天气预警和提示信息服务，提高面向重大活动运行指挥部门和现场的气象服务能力。构建涵盖服务筹备、测试与演练、服务运行和总结评估等全阶段的重大活动气象保障服务工作流程，推进重大活动气象保障服务规范化。</w:t>
      </w:r>
    </w:p>
    <w:p>
      <w:pPr>
        <w:ind w:firstLine="562"/>
        <w:rPr>
          <w:rFonts w:ascii="仿宋_GB2312"/>
          <w:b/>
          <w:sz w:val="28"/>
          <w:szCs w:val="28"/>
        </w:rPr>
      </w:pPr>
      <w:r>
        <w:rPr>
          <w:rFonts w:ascii="仿宋_GB2312"/>
          <w:b/>
          <w:sz w:val="28"/>
          <w:szCs w:val="28"/>
        </w:rPr>
        <w:t>4</w:t>
      </w:r>
      <w:r>
        <w:rPr>
          <w:rFonts w:hint="eastAsia" w:ascii="仿宋_GB2312"/>
          <w:b/>
          <w:sz w:val="28"/>
          <w:szCs w:val="28"/>
        </w:rPr>
        <w:t>.强化气象知识科普宣传，提升全民气象科学素养</w:t>
      </w:r>
    </w:p>
    <w:p>
      <w:pPr>
        <w:ind w:firstLine="560"/>
        <w:rPr>
          <w:rFonts w:ascii="仿宋_GB2312"/>
          <w:sz w:val="28"/>
          <w:szCs w:val="28"/>
        </w:rPr>
      </w:pPr>
      <w:r>
        <w:rPr>
          <w:rFonts w:hint="eastAsia" w:ascii="仿宋_GB2312"/>
          <w:sz w:val="28"/>
          <w:szCs w:val="28"/>
        </w:rPr>
        <w:t>构建社会化气象科普宣传工作体系，将气象科普融入核心业务中，打造大宣传大科普格局。大力推动“互联网+”气象科普，结合大数据、云计算、移动互联等信息技术手段，构建精准、定向、定制的气象科普服务模式。加大气象科普创新创作支持力度，推动气象科研、业务成果向气象科普产品转化，提升气象科普品牌效应和传播效益。开展多样化、特色化气象科普场地、展区建设，推进气象科普融入“城市书房”、“乡村书房”、农村文化礼堂、智慧文化场馆建设。加强与慈溪科协、科技馆、学校等单位的合作与交流，共同开展科普活动，拓展科普形式；加强与志愿者团队合作，打造社会力量广泛参与的气象科普讲师团队伍。持续开展面向青少年、农民、城镇劳动者、领导干部和公务员等重点人群的气象科普工作，有效提升公众气象科学素质。</w:t>
      </w:r>
    </w:p>
    <w:p>
      <w:pPr>
        <w:pStyle w:val="3"/>
        <w:ind w:firstLine="452"/>
        <w:rPr>
          <w:rFonts w:hint="eastAsia" w:ascii="华文楷体" w:hAnsi="华文楷体" w:eastAsia="华文楷体" w:cs="华文楷体"/>
        </w:rPr>
      </w:pPr>
      <w:bookmarkStart w:id="13" w:name="_Toc46597696"/>
      <w:bookmarkStart w:id="14" w:name="_Toc75160697"/>
      <w:r>
        <w:rPr>
          <w:rFonts w:hint="eastAsia" w:ascii="华文楷体" w:hAnsi="华文楷体" w:eastAsia="华文楷体" w:cs="华文楷体"/>
        </w:rPr>
        <w:t>（三）强化智慧型业务，推动现代气象业务能力建设</w:t>
      </w:r>
      <w:bookmarkEnd w:id="13"/>
      <w:bookmarkEnd w:id="14"/>
    </w:p>
    <w:p>
      <w:pPr>
        <w:ind w:firstLine="562"/>
        <w:rPr>
          <w:rFonts w:ascii="仿宋_GB2312" w:cs="Times New Roman"/>
          <w:b/>
          <w:sz w:val="28"/>
          <w:szCs w:val="28"/>
        </w:rPr>
      </w:pPr>
      <w:r>
        <w:rPr>
          <w:rFonts w:hint="eastAsia" w:ascii="仿宋_GB2312" w:cs="Times New Roman"/>
          <w:b/>
          <w:sz w:val="28"/>
          <w:szCs w:val="28"/>
        </w:rPr>
        <w:t>1.完善智能观测网络体系，加强“精密监测”能力</w:t>
      </w:r>
    </w:p>
    <w:p>
      <w:pPr>
        <w:ind w:firstLine="560"/>
        <w:rPr>
          <w:rFonts w:ascii="仿宋_GB2312"/>
          <w:sz w:val="28"/>
          <w:szCs w:val="28"/>
        </w:rPr>
      </w:pPr>
      <w:r>
        <w:rPr>
          <w:rFonts w:hint="eastAsia" w:ascii="仿宋_GB2312"/>
          <w:sz w:val="28"/>
          <w:szCs w:val="28"/>
        </w:rPr>
        <w:t>根据省政府统一部署要求，推进《浙江省气象监测预报能力提升工程》县域建设内容的建设，开展区域自动站网升级改造，扩展区域自动站观测要素，改良地面观测设备建设布局，新建以X波段相控阵天气雷达为代表的新型探测设备，实现全时、全域、多要素的气象综合观测。依托全省一体化气象装备保障管理信息化系统，完善县级装备保障业务体系建设，明确装备日常维护和故障应急维修社会化职能，制定气象装备日常维护及应急维修工作流程，推进设备库房标准化建设，进一步提升气象装备保障管理的规范性。</w:t>
      </w:r>
    </w:p>
    <w:p>
      <w:pPr>
        <w:ind w:firstLine="562"/>
        <w:rPr>
          <w:rFonts w:ascii="仿宋_GB2312" w:cs="Times New Roman"/>
          <w:b/>
          <w:sz w:val="28"/>
          <w:szCs w:val="28"/>
        </w:rPr>
      </w:pPr>
      <w:r>
        <w:rPr>
          <w:rFonts w:hint="eastAsia" w:ascii="仿宋_GB2312" w:cs="Times New Roman"/>
          <w:b/>
          <w:sz w:val="28"/>
          <w:szCs w:val="28"/>
        </w:rPr>
        <w:t>2.强化智能网格预报本地化应用，提升“精准预报”水平</w:t>
      </w:r>
    </w:p>
    <w:p>
      <w:pPr>
        <w:ind w:firstLine="560"/>
        <w:rPr>
          <w:rFonts w:ascii="仿宋_GB2312"/>
          <w:sz w:val="28"/>
          <w:szCs w:val="28"/>
        </w:rPr>
      </w:pPr>
      <w:r>
        <w:rPr>
          <w:rFonts w:hint="eastAsia" w:ascii="仿宋_GB2312"/>
          <w:sz w:val="28"/>
          <w:szCs w:val="28"/>
        </w:rPr>
        <w:t>构建以智能网格预报产品为基础，本地化产品定制为应用，完善从分钟到年的无缝隙精细化县级智能网格预报业务体系。应用国家级、省级、市级业务产品，建立基本气象要素和重要天气过程网格预报的深加工与服务业务，完善月、季、年气温、降水趋势定量预测业务的本地化定制与应用。推动主要预报产品、服务产品与智能网格预报的完全对接，实现适应多样化时空分辨率需求的精细化预报和服务。</w:t>
      </w:r>
    </w:p>
    <w:p>
      <w:pPr>
        <w:ind w:firstLine="562"/>
        <w:rPr>
          <w:rFonts w:ascii="仿宋_GB2312" w:cs="Times New Roman"/>
          <w:b/>
          <w:sz w:val="28"/>
          <w:szCs w:val="28"/>
        </w:rPr>
      </w:pPr>
      <w:r>
        <w:rPr>
          <w:rFonts w:hint="eastAsia" w:ascii="仿宋_GB2312" w:cs="Times New Roman"/>
          <w:b/>
          <w:sz w:val="28"/>
          <w:szCs w:val="28"/>
        </w:rPr>
        <w:t>3.强化智能智慧技术应用，满足“精细服务”需求</w:t>
      </w:r>
    </w:p>
    <w:p>
      <w:pPr>
        <w:ind w:firstLine="560"/>
        <w:rPr>
          <w:rFonts w:ascii="仿宋_GB2312"/>
          <w:sz w:val="28"/>
          <w:szCs w:val="28"/>
        </w:rPr>
      </w:pPr>
      <w:r>
        <w:rPr>
          <w:rFonts w:hint="eastAsia" w:ascii="仿宋_GB2312"/>
          <w:sz w:val="28"/>
          <w:szCs w:val="28"/>
        </w:rPr>
        <w:t>以浙江省数字化改革为契机，加强与大数据局合作，积极参与数字慈溪建设，加快推进智慧气象融入“城市大脑”，提升覆盖城市精细化管理全场景的影响预报和风险预估能力。利用语音、图像识别、人工智能、5G传输技术等现代信息技术，依托智慧气象服务云平台，建立更加智能化的气象服务需求自主交互、快速响应的应用场景和信息展示、决策与服务系统。加强气象与农业、交通、能源、旅游、物流、健康等领域数据的深度融合与产品研发，实现敏感行业气象服务产品的有效供给。进一步推进“按需生产、智能制作、精准推送”的智慧气象服务建设。</w:t>
      </w:r>
    </w:p>
    <w:p>
      <w:pPr>
        <w:pStyle w:val="3"/>
        <w:ind w:firstLine="452"/>
        <w:rPr>
          <w:rFonts w:hint="eastAsia" w:ascii="华文楷体" w:hAnsi="华文楷体" w:eastAsia="华文楷体" w:cs="华文楷体"/>
        </w:rPr>
      </w:pPr>
      <w:bookmarkStart w:id="15" w:name="_Toc75160698"/>
      <w:bookmarkStart w:id="16" w:name="_Toc46597699"/>
      <w:r>
        <w:rPr>
          <w:rFonts w:hint="eastAsia" w:ascii="华文楷体" w:hAnsi="华文楷体" w:eastAsia="华文楷体" w:cs="华文楷体"/>
        </w:rPr>
        <w:t>（四）推进治理现代化，助力优化地方社会治理体系</w:t>
      </w:r>
      <w:bookmarkEnd w:id="15"/>
      <w:bookmarkEnd w:id="16"/>
    </w:p>
    <w:p>
      <w:pPr>
        <w:ind w:firstLine="562"/>
        <w:rPr>
          <w:rFonts w:ascii="仿宋_GB2312" w:cs="Times New Roman"/>
          <w:sz w:val="28"/>
          <w:szCs w:val="28"/>
        </w:rPr>
      </w:pPr>
      <w:r>
        <w:rPr>
          <w:rFonts w:ascii="仿宋_GB2312" w:cs="Times New Roman"/>
          <w:b/>
          <w:sz w:val="28"/>
          <w:szCs w:val="28"/>
        </w:rPr>
        <w:t>1</w:t>
      </w:r>
      <w:r>
        <w:rPr>
          <w:rFonts w:hint="eastAsia" w:ascii="仿宋_GB2312" w:cs="Times New Roman"/>
          <w:b/>
          <w:sz w:val="28"/>
          <w:szCs w:val="28"/>
        </w:rPr>
        <w:t>.强化气象依法行政能力</w:t>
      </w:r>
    </w:p>
    <w:p>
      <w:pPr>
        <w:ind w:firstLine="560"/>
        <w:rPr>
          <w:rFonts w:ascii="仿宋_GB2312"/>
          <w:sz w:val="28"/>
          <w:szCs w:val="28"/>
        </w:rPr>
      </w:pPr>
      <w:r>
        <w:rPr>
          <w:rFonts w:hint="eastAsia" w:ascii="仿宋_GB2312"/>
          <w:sz w:val="28"/>
          <w:szCs w:val="28"/>
        </w:rPr>
        <w:t>依据“简政放权、放管结合、优化服务”要求，适应部门管理方式转变。加强气象行政许可管理与气象行业管理，严格依法履行气象社会管理职能。进一步明确气象行政执法权限与责任，加强执法人员培训和执法队伍建设，探索综合执法、联合执法等机制，推进气象执法基础设施和信息化建设，提高气象行政执法能力和水平。全面推进政务公开和政府信息公开，做好主动公开与依申请公开工作，完善行政监管与纠错问责机制，强化对行政权力的制约和监督。</w:t>
      </w:r>
    </w:p>
    <w:p>
      <w:pPr>
        <w:ind w:firstLine="562"/>
        <w:rPr>
          <w:rFonts w:ascii="仿宋_GB2312" w:cs="Times New Roman"/>
          <w:b/>
          <w:sz w:val="28"/>
          <w:szCs w:val="28"/>
        </w:rPr>
      </w:pPr>
      <w:r>
        <w:rPr>
          <w:rFonts w:ascii="仿宋_GB2312" w:cs="Times New Roman"/>
          <w:b/>
          <w:sz w:val="28"/>
          <w:szCs w:val="28"/>
        </w:rPr>
        <w:t>2</w:t>
      </w:r>
      <w:r>
        <w:rPr>
          <w:rFonts w:hint="eastAsia" w:ascii="仿宋_GB2312" w:cs="Times New Roman"/>
          <w:b/>
          <w:sz w:val="28"/>
          <w:szCs w:val="28"/>
        </w:rPr>
        <w:t>.规范气象社会管理职能</w:t>
      </w:r>
    </w:p>
    <w:p>
      <w:pPr>
        <w:ind w:firstLine="560"/>
        <w:rPr>
          <w:rFonts w:ascii="仿宋_GB2312"/>
          <w:sz w:val="28"/>
          <w:szCs w:val="28"/>
        </w:rPr>
      </w:pPr>
      <w:r>
        <w:rPr>
          <w:rFonts w:hint="eastAsia" w:ascii="仿宋_GB2312"/>
          <w:sz w:val="28"/>
          <w:szCs w:val="28"/>
        </w:rPr>
        <w:t>继续深化气象“最多跑一次”、数字化转型等改革，落实“一网通办、一窗受理、全城通办、掌上移动办”等改革举措，优化“互联网+政务服务”与“互联网+监管”。配合上级气象部门推进易燃易爆工程建设项目的审批制度改革与监管。深化防雷减灾体制改革，全面落实乡镇（街道）防雷安全属地监管职能。加强防雷检测市场信用管理与日常检查工作。加强安全生产社会监督管理，提高对重点单位安全生产气象风险和重点行业领域经济运行安全气象风险管控，定期开展对易燃易爆等企业“双随机”抽查和重点检查，设立隐患分级治理制度与隐患治理效果评估制度，实现对气象安全的闭环管理。</w:t>
      </w:r>
    </w:p>
    <w:p>
      <w:pPr>
        <w:pStyle w:val="3"/>
        <w:ind w:firstLine="452"/>
        <w:rPr>
          <w:rFonts w:hint="eastAsia" w:ascii="华文楷体" w:hAnsi="华文楷体" w:eastAsia="华文楷体" w:cs="华文楷体"/>
        </w:rPr>
      </w:pPr>
      <w:bookmarkStart w:id="17" w:name="_Toc75160699"/>
      <w:bookmarkStart w:id="18" w:name="_Toc46597700"/>
      <w:r>
        <w:rPr>
          <w:rFonts w:hint="eastAsia" w:ascii="华文楷体" w:hAnsi="华文楷体" w:eastAsia="华文楷体" w:cs="华文楷体"/>
        </w:rPr>
        <w:t>（五）明确新时代要求，增强气象事业改革发展能力</w:t>
      </w:r>
      <w:bookmarkEnd w:id="17"/>
      <w:bookmarkEnd w:id="18"/>
    </w:p>
    <w:p>
      <w:pPr>
        <w:ind w:firstLine="562"/>
        <w:rPr>
          <w:rFonts w:ascii="仿宋_GB2312" w:cs="Times New Roman"/>
          <w:b/>
          <w:sz w:val="28"/>
          <w:szCs w:val="28"/>
        </w:rPr>
      </w:pPr>
      <w:r>
        <w:rPr>
          <w:rFonts w:hint="eastAsia" w:ascii="仿宋_GB2312" w:cs="Times New Roman"/>
          <w:b/>
          <w:sz w:val="28"/>
          <w:szCs w:val="28"/>
        </w:rPr>
        <w:t>1.加强气象部门党的建设</w:t>
      </w:r>
    </w:p>
    <w:p>
      <w:pPr>
        <w:ind w:firstLine="560"/>
        <w:rPr>
          <w:rFonts w:ascii="仿宋_GB2312"/>
          <w:sz w:val="28"/>
          <w:szCs w:val="28"/>
        </w:rPr>
      </w:pPr>
      <w:r>
        <w:rPr>
          <w:rFonts w:hint="eastAsia" w:ascii="仿宋_GB2312"/>
          <w:sz w:val="28"/>
          <w:szCs w:val="28"/>
        </w:rPr>
        <w:t>完善党对气象工作的领导体制，切实增强“四个意识”</w:t>
      </w:r>
      <w:r>
        <w:rPr>
          <w:rFonts w:hint="eastAsia" w:ascii="仿宋_GB2312"/>
          <w:sz w:val="28"/>
          <w:szCs w:val="28"/>
          <w:lang w:eastAsia="zh-CN"/>
        </w:rPr>
        <w:t>、</w:t>
      </w:r>
      <w:r>
        <w:rPr>
          <w:rFonts w:hint="eastAsia" w:ascii="仿宋_GB2312"/>
          <w:sz w:val="28"/>
          <w:szCs w:val="28"/>
        </w:rPr>
        <w:t>坚定“四个自信”、做到“两个维护”、做好“三个表率”。严格落实意识形态工作责任制，坚持以人民为中心的发展思想，积极服务党和国家重大战略。将重大业务改革发展等工作列入党组（党委）“三重一大”事项清单，建立完善重大会议机制、重要文件机制和关键工作机制，积极开展党建和业务决策部署的日常检查，加强党建工作与气象业务的深度融合，实现党建工作与业务工作的同谋划、同部署、同推进、同考核。推进学习型党组织建设，推动“两学一做”和主题教育常态化、制度化。根据上级部署，落实重点领域和重点部门的督查检查和风险防控机制，推进气象部门全面从严治党向纵深发展。</w:t>
      </w:r>
    </w:p>
    <w:p>
      <w:pPr>
        <w:ind w:firstLine="562"/>
        <w:rPr>
          <w:rFonts w:ascii="仿宋_GB2312" w:cs="Times New Roman"/>
          <w:b/>
          <w:sz w:val="28"/>
          <w:szCs w:val="28"/>
        </w:rPr>
      </w:pPr>
      <w:r>
        <w:rPr>
          <w:rFonts w:hint="eastAsia" w:ascii="仿宋_GB2312" w:cs="Times New Roman"/>
          <w:b/>
          <w:sz w:val="28"/>
          <w:szCs w:val="28"/>
        </w:rPr>
        <w:t>2.推进基层业务技术体制改革</w:t>
      </w:r>
    </w:p>
    <w:p>
      <w:pPr>
        <w:ind w:firstLine="560"/>
        <w:rPr>
          <w:rFonts w:ascii="仿宋_GB2312"/>
          <w:sz w:val="28"/>
          <w:szCs w:val="28"/>
        </w:rPr>
      </w:pPr>
      <w:r>
        <w:rPr>
          <w:rFonts w:hint="eastAsia" w:ascii="仿宋_GB2312"/>
          <w:sz w:val="28"/>
          <w:szCs w:val="28"/>
        </w:rPr>
        <w:t>按照上级气象部门统一部署，开展基层气象业务体制的统筹集约，开展“云+端”气象技术体制和以大数据为中心的新型气象业务建设的本地化应用，构建以数据为主线，贯通观测、预报、服务全链条的集约化业务流程，提升气象数据的生产、分析、融合和应用能力。优化调整气象业务功能结构，重点强化面向政府需求的气象防灾减灾业务和生态气候业务。持续加强气象服务供给侧结构性改革，以社会化为导向大力培育和发展专业气象服务，提高气象服务供给能力和质量。</w:t>
      </w:r>
    </w:p>
    <w:p>
      <w:pPr>
        <w:ind w:firstLine="562"/>
        <w:rPr>
          <w:rFonts w:ascii="仿宋_GB2312" w:cs="Times New Roman"/>
          <w:b/>
          <w:sz w:val="28"/>
          <w:szCs w:val="28"/>
        </w:rPr>
      </w:pPr>
      <w:r>
        <w:rPr>
          <w:rFonts w:hint="eastAsia" w:ascii="仿宋_GB2312" w:cs="Times New Roman"/>
          <w:b/>
          <w:sz w:val="28"/>
          <w:szCs w:val="28"/>
        </w:rPr>
        <w:t>3.推动气象先进文化发展</w:t>
      </w:r>
    </w:p>
    <w:p>
      <w:pPr>
        <w:ind w:firstLine="560"/>
        <w:rPr>
          <w:rFonts w:ascii="仿宋_GB2312" w:cs="Times New Roman"/>
          <w:color w:val="000000" w:themeColor="text1"/>
          <w14:textFill>
            <w14:solidFill>
              <w14:schemeClr w14:val="tx1"/>
            </w14:solidFill>
          </w14:textFill>
        </w:rPr>
      </w:pPr>
      <w:r>
        <w:rPr>
          <w:rFonts w:hint="eastAsia" w:ascii="仿宋_GB2312"/>
          <w:sz w:val="28"/>
          <w:szCs w:val="28"/>
        </w:rPr>
        <w:t>明确气象文化发展是气象现代化建设的重要组成部分，牢牢把握社会主义先进文化前进方向，培育和践行社会主义核心价值观，弘扬“准确、及时、创新、奉献”的气象人精神，为气象事业高质量发展凝聚精神动力。按照气象文化“一市一品”建设要求，深入挖掘慈溪气象优秀文化传统，提升气象文化基础设施水平，加强气象从业人员的归属感和认同感，从物质、制度和精神三个层面推动形成具有时代特征、部门特点、地域特色，并与慈溪气象现代化相适应的慈溪气象文化体系。</w:t>
      </w:r>
    </w:p>
    <w:p>
      <w:pPr>
        <w:pStyle w:val="2"/>
        <w:ind w:firstLine="643"/>
        <w:rPr>
          <w:rFonts w:hint="eastAsia" w:ascii="黑体" w:hAnsi="黑体" w:eastAsia="黑体" w:cs="黑体"/>
          <w:b w:val="0"/>
          <w:bCs w:val="0"/>
          <w:color w:val="000000" w:themeColor="text1"/>
          <w:sz w:val="32"/>
          <w:szCs w:val="32"/>
          <w14:textFill>
            <w14:solidFill>
              <w14:schemeClr w14:val="tx1"/>
            </w14:solidFill>
          </w14:textFill>
        </w:rPr>
      </w:pPr>
      <w:bookmarkStart w:id="19" w:name="_Toc75160700"/>
      <w:r>
        <w:rPr>
          <w:rFonts w:hint="eastAsia" w:ascii="黑体" w:hAnsi="黑体" w:eastAsia="黑体" w:cs="黑体"/>
          <w:b w:val="0"/>
          <w:bCs w:val="0"/>
          <w:color w:val="000000" w:themeColor="text1"/>
          <w:sz w:val="32"/>
          <w:szCs w:val="32"/>
          <w14:textFill>
            <w14:solidFill>
              <w14:schemeClr w14:val="tx1"/>
            </w14:solidFill>
          </w14:textFill>
        </w:rPr>
        <w:t>四、重点工程</w:t>
      </w:r>
      <w:bookmarkEnd w:id="19"/>
    </w:p>
    <w:p>
      <w:pPr>
        <w:ind w:firstLine="560"/>
        <w:rPr>
          <w:rFonts w:ascii="仿宋_GB2312"/>
          <w:sz w:val="28"/>
          <w:szCs w:val="28"/>
        </w:rPr>
      </w:pPr>
      <w:r>
        <w:rPr>
          <w:rFonts w:hint="eastAsia" w:ascii="仿宋_GB2312"/>
          <w:sz w:val="28"/>
          <w:szCs w:val="28"/>
        </w:rPr>
        <w:t>“十四五”期间，瞄准气象事业发展目标，聚焦气象事业重点发展任务，并综合考虑与“十三五”项目建设相衔接，我市将着力实施慈溪气象监测能力提升工程、智慧气象应用能力提升工程、生态气象服务保障能力建设工程。</w:t>
      </w:r>
    </w:p>
    <w:p>
      <w:pPr>
        <w:pStyle w:val="3"/>
        <w:ind w:firstLine="452"/>
        <w:rPr>
          <w:rFonts w:hint="eastAsia" w:ascii="华文楷体" w:hAnsi="华文楷体" w:eastAsia="华文楷体" w:cs="华文楷体"/>
        </w:rPr>
      </w:pPr>
      <w:bookmarkStart w:id="20" w:name="_Toc75160701"/>
      <w:r>
        <w:rPr>
          <w:rFonts w:hint="eastAsia" w:ascii="华文楷体" w:hAnsi="华文楷体" w:eastAsia="华文楷体" w:cs="华文楷体"/>
        </w:rPr>
        <w:t>（一）气象立体监测能力提升工程</w:t>
      </w:r>
      <w:bookmarkEnd w:id="20"/>
    </w:p>
    <w:p>
      <w:pPr>
        <w:ind w:firstLine="560"/>
        <w:rPr>
          <w:rFonts w:ascii="仿宋_GB2312"/>
          <w:sz w:val="28"/>
          <w:szCs w:val="28"/>
        </w:rPr>
      </w:pPr>
      <w:r>
        <w:rPr>
          <w:rFonts w:ascii="仿宋_GB2312"/>
          <w:sz w:val="28"/>
          <w:szCs w:val="28"/>
        </w:rPr>
        <w:t>根据</w:t>
      </w:r>
      <w:r>
        <w:rPr>
          <w:rFonts w:hint="eastAsia" w:ascii="仿宋_GB2312"/>
          <w:sz w:val="28"/>
          <w:szCs w:val="28"/>
        </w:rPr>
        <w:t>“浙江省气象监测预报能力提升工程”对慈溪市域建设内容的具体要求和部署，以及慈溪市委</w:t>
      </w:r>
      <w:r>
        <w:rPr>
          <w:rFonts w:hint="eastAsia" w:ascii="仿宋_GB2312"/>
          <w:sz w:val="28"/>
          <w:szCs w:val="28"/>
          <w:lang w:eastAsia="zh-CN"/>
        </w:rPr>
        <w:t>市政府</w:t>
      </w:r>
      <w:r>
        <w:rPr>
          <w:rFonts w:hint="eastAsia" w:ascii="仿宋_GB2312"/>
          <w:sz w:val="28"/>
          <w:szCs w:val="28"/>
        </w:rPr>
        <w:t>对健全高效科学的自然灾害防治体系、提高气象监测预警与服务能力的要求，为推动慈溪气象监测能力进一步提升，具体开展以下两方面建设。</w:t>
      </w:r>
    </w:p>
    <w:p>
      <w:pPr>
        <w:ind w:firstLine="562"/>
        <w:rPr>
          <w:rFonts w:ascii="仿宋_GB2312"/>
          <w:b/>
          <w:sz w:val="28"/>
          <w:szCs w:val="28"/>
        </w:rPr>
      </w:pPr>
      <w:r>
        <w:rPr>
          <w:rFonts w:hint="eastAsia" w:ascii="仿宋_GB2312"/>
          <w:b/>
          <w:sz w:val="28"/>
          <w:szCs w:val="28"/>
        </w:rPr>
        <w:t>1.重点区域气象灾害监测站网加密与完善建设</w:t>
      </w:r>
    </w:p>
    <w:p>
      <w:pPr>
        <w:spacing w:line="360" w:lineRule="auto"/>
        <w:ind w:firstLine="560"/>
        <w:jc w:val="left"/>
        <w:rPr>
          <w:rFonts w:ascii="仿宋_GB2312"/>
          <w:sz w:val="28"/>
          <w:szCs w:val="28"/>
        </w:rPr>
      </w:pPr>
      <w:r>
        <w:rPr>
          <w:rFonts w:hint="eastAsia" w:ascii="仿宋_GB2312"/>
          <w:sz w:val="28"/>
          <w:szCs w:val="28"/>
        </w:rPr>
        <w:t>通过对慈溪全市范围内气象观测设备的加密、改造及更新，优化气象观测系统站网布局，提高全时、全域、多要素的气象综合观测能力。主要在沿海、内涝、地质灾害等风险区增加气象站点，区域站平均密度达到5km。在骨干区域站适当增加气象观测要素，并加装北斗通信模块，提高观测站网通讯及数据传输能力。采购六要素便携式自动气象站，提升应急服务监测能力。建设仪器设备备件库和管理系统，</w:t>
      </w:r>
      <w:bookmarkStart w:id="29" w:name="_GoBack"/>
      <w:bookmarkEnd w:id="29"/>
      <w:r>
        <w:rPr>
          <w:rFonts w:hint="eastAsia" w:ascii="仿宋_GB2312"/>
          <w:sz w:val="28"/>
          <w:szCs w:val="28"/>
        </w:rPr>
        <w:t>提高观测站网的维护保障能力。对部分现有区域站加装全天空要素观测仪和能见度仪。</w:t>
      </w:r>
    </w:p>
    <w:p>
      <w:pPr>
        <w:ind w:firstLine="562"/>
        <w:rPr>
          <w:rFonts w:ascii="仿宋_GB2312"/>
          <w:b/>
          <w:sz w:val="28"/>
          <w:szCs w:val="28"/>
        </w:rPr>
      </w:pPr>
      <w:r>
        <w:rPr>
          <w:rFonts w:hint="eastAsia" w:ascii="仿宋_GB2312"/>
          <w:b/>
          <w:sz w:val="28"/>
          <w:szCs w:val="28"/>
        </w:rPr>
        <w:t>2.开展一网多能立体观测系统建设</w:t>
      </w:r>
    </w:p>
    <w:p>
      <w:pPr>
        <w:ind w:firstLine="560"/>
        <w:rPr>
          <w:rFonts w:ascii="仿宋_GB2312"/>
          <w:sz w:val="28"/>
          <w:szCs w:val="28"/>
        </w:rPr>
      </w:pPr>
      <w:r>
        <w:rPr>
          <w:rFonts w:ascii="仿宋_GB2312"/>
          <w:sz w:val="28"/>
          <w:szCs w:val="28"/>
        </w:rPr>
        <w:t>新建</w:t>
      </w:r>
      <w:r>
        <w:rPr>
          <w:rFonts w:hint="eastAsia" w:ascii="仿宋_GB2312"/>
          <w:sz w:val="28"/>
          <w:szCs w:val="28"/>
        </w:rPr>
        <w:t>X波段相控阵天气雷达，并与宁波行政区域其他X波段相控阵天气雷达组网，形成天气雷达协同智能观测网，提高强对流天气高时空分辨率实时三维探测和预警能力。新建微波辐射计、激光雷达和毫米波云雷达，搭建垂直廓线观测网络，提升气象要素垂直探测能力。</w:t>
      </w:r>
    </w:p>
    <w:p>
      <w:pPr>
        <w:pStyle w:val="3"/>
        <w:ind w:firstLine="452"/>
        <w:rPr>
          <w:rFonts w:hint="eastAsia" w:ascii="华文楷体" w:hAnsi="华文楷体" w:eastAsia="华文楷体" w:cs="华文楷体"/>
        </w:rPr>
      </w:pPr>
      <w:bookmarkStart w:id="21" w:name="_Toc75160702"/>
      <w:r>
        <w:rPr>
          <w:rFonts w:hint="eastAsia" w:ascii="华文楷体" w:hAnsi="华文楷体" w:eastAsia="华文楷体" w:cs="华文楷体"/>
        </w:rPr>
        <w:t>（二）智慧气象服务能力提升工程</w:t>
      </w:r>
      <w:bookmarkEnd w:id="21"/>
    </w:p>
    <w:p>
      <w:pPr>
        <w:pStyle w:val="30"/>
        <w:spacing w:line="360" w:lineRule="auto"/>
        <w:ind w:left="562" w:firstLine="0" w:firstLineChars="0"/>
        <w:jc w:val="left"/>
        <w:rPr>
          <w:rFonts w:ascii="仿宋_GB2312"/>
          <w:b/>
          <w:sz w:val="28"/>
          <w:szCs w:val="28"/>
        </w:rPr>
      </w:pPr>
      <w:r>
        <w:rPr>
          <w:rFonts w:hint="eastAsia" w:ascii="仿宋_GB2312"/>
          <w:b/>
          <w:sz w:val="28"/>
          <w:szCs w:val="28"/>
        </w:rPr>
        <w:t>1.智慧气象服务支撑系统建设</w:t>
      </w:r>
    </w:p>
    <w:p>
      <w:pPr>
        <w:pStyle w:val="30"/>
        <w:spacing w:line="360" w:lineRule="auto"/>
        <w:ind w:left="600" w:leftChars="200" w:firstLine="0" w:firstLineChars="0"/>
        <w:jc w:val="left"/>
        <w:rPr>
          <w:rFonts w:ascii="仿宋_GB2312"/>
          <w:b/>
          <w:sz w:val="28"/>
          <w:szCs w:val="28"/>
        </w:rPr>
      </w:pPr>
      <w:r>
        <w:rPr>
          <w:rFonts w:ascii="仿宋_GB2312"/>
          <w:b/>
          <w:sz w:val="28"/>
          <w:szCs w:val="28"/>
        </w:rPr>
        <w:t>1</w:t>
      </w:r>
      <w:r>
        <w:rPr>
          <w:rFonts w:hint="eastAsia" w:ascii="仿宋_GB2312"/>
          <w:b/>
          <w:sz w:val="28"/>
          <w:szCs w:val="28"/>
        </w:rPr>
        <w:t>.1、智能网格与气象大数据云平台本地化应用系统建设</w:t>
      </w:r>
    </w:p>
    <w:p>
      <w:pPr>
        <w:spacing w:line="360" w:lineRule="auto"/>
        <w:ind w:firstLine="560"/>
        <w:jc w:val="left"/>
        <w:rPr>
          <w:rFonts w:ascii="仿宋_GB2312"/>
          <w:sz w:val="28"/>
          <w:szCs w:val="28"/>
        </w:rPr>
      </w:pPr>
      <w:r>
        <w:rPr>
          <w:rFonts w:hint="eastAsia" w:ascii="仿宋_GB2312"/>
          <w:sz w:val="28"/>
          <w:szCs w:val="28"/>
        </w:rPr>
        <w:t>利用气象大数据云平台提供的智能网格产品、欧洲中心EC模式、GRAPES模式、GFS模式、WRF中尺度模式等数值预报数据和高分辨率观测数据，通过人工智能技术、结合本地气候特点和地理特征，开展本地化的气温、雨、雪、风、能见度等气象要素的智能化预报释用，根据公众和特定行业的个性化需求，实现对慈溪市域内天气要素的精细化、定制化产品发布与服务。开发增强预报员能力的人工智能技术和在线技术支持体系。升级改造现有气象视频会商系统与监测预报业务平台。</w:t>
      </w:r>
    </w:p>
    <w:p>
      <w:pPr>
        <w:pStyle w:val="30"/>
        <w:spacing w:line="360" w:lineRule="auto"/>
        <w:ind w:left="560" w:firstLine="0" w:firstLineChars="0"/>
        <w:jc w:val="left"/>
        <w:rPr>
          <w:rFonts w:ascii="仿宋_GB2312"/>
          <w:b/>
          <w:sz w:val="28"/>
          <w:szCs w:val="28"/>
        </w:rPr>
      </w:pPr>
      <w:r>
        <w:rPr>
          <w:rFonts w:ascii="仿宋_GB2312"/>
          <w:b/>
          <w:sz w:val="28"/>
          <w:szCs w:val="28"/>
        </w:rPr>
        <w:t>1</w:t>
      </w:r>
      <w:r>
        <w:rPr>
          <w:rFonts w:hint="eastAsia" w:ascii="仿宋_GB2312"/>
          <w:b/>
          <w:sz w:val="28"/>
          <w:szCs w:val="28"/>
        </w:rPr>
        <w:t>.2、智慧农业气象监测与服务系统建设</w:t>
      </w:r>
    </w:p>
    <w:p>
      <w:pPr>
        <w:spacing w:line="360" w:lineRule="auto"/>
        <w:ind w:firstLine="560"/>
        <w:jc w:val="left"/>
        <w:rPr>
          <w:rFonts w:ascii="仿宋_GB2312"/>
          <w:sz w:val="28"/>
          <w:szCs w:val="28"/>
        </w:rPr>
      </w:pPr>
      <w:r>
        <w:rPr>
          <w:rFonts w:hint="eastAsia" w:ascii="仿宋_GB2312"/>
          <w:sz w:val="28"/>
          <w:szCs w:val="28"/>
        </w:rPr>
        <w:t>利用图像识别、5G传输等现代信息技术，建立草莓、葡萄等作物的生育期、病虫害等作物生理指标的自动观测系统。集合气象观测数据、智能网格预报产品、作物生理指标观测数据、作物气象指标等相关数据，建立智能化农业气象服务决策支持系统，实现精细化、定点服务，提高农业气象服务的实效，进一步改善传统农业气象服务差异化程度不高、精细化水平不足、可操作性不强等问题。</w:t>
      </w:r>
    </w:p>
    <w:p>
      <w:pPr>
        <w:pStyle w:val="30"/>
        <w:spacing w:line="360" w:lineRule="auto"/>
        <w:ind w:left="560" w:firstLine="0" w:firstLineChars="0"/>
        <w:jc w:val="left"/>
        <w:rPr>
          <w:rFonts w:ascii="仿宋_GB2312"/>
          <w:b/>
          <w:sz w:val="28"/>
          <w:szCs w:val="28"/>
        </w:rPr>
      </w:pPr>
      <w:r>
        <w:rPr>
          <w:rFonts w:ascii="仿宋_GB2312"/>
          <w:b/>
          <w:sz w:val="28"/>
          <w:szCs w:val="28"/>
        </w:rPr>
        <w:t>1</w:t>
      </w:r>
      <w:r>
        <w:rPr>
          <w:rFonts w:hint="eastAsia" w:ascii="仿宋_GB2312"/>
          <w:b/>
          <w:sz w:val="28"/>
          <w:szCs w:val="28"/>
        </w:rPr>
        <w:t>.3、融媒体技术支撑体系建设</w:t>
      </w:r>
    </w:p>
    <w:p>
      <w:pPr>
        <w:spacing w:line="360" w:lineRule="auto"/>
        <w:ind w:firstLine="560"/>
        <w:jc w:val="left"/>
        <w:rPr>
          <w:rFonts w:ascii="仿宋_GB2312"/>
          <w:sz w:val="28"/>
          <w:szCs w:val="28"/>
        </w:rPr>
      </w:pPr>
      <w:r>
        <w:rPr>
          <w:rFonts w:hint="eastAsia" w:ascii="仿宋_GB2312"/>
          <w:sz w:val="28"/>
          <w:szCs w:val="28"/>
        </w:rPr>
        <w:t>利用大数据和人工智能技术，充分收集图文、视频资料，建立具有智能搜索和产品自动预编辑功能的资料库和业务平台，为开展相关融媒体服务提供技术支撑。</w:t>
      </w:r>
    </w:p>
    <w:p>
      <w:pPr>
        <w:pStyle w:val="30"/>
        <w:spacing w:line="360" w:lineRule="auto"/>
        <w:ind w:left="560" w:firstLine="0" w:firstLineChars="0"/>
        <w:jc w:val="left"/>
        <w:rPr>
          <w:rFonts w:ascii="仿宋_GB2312"/>
          <w:b/>
          <w:sz w:val="28"/>
          <w:szCs w:val="28"/>
        </w:rPr>
      </w:pPr>
      <w:r>
        <w:rPr>
          <w:rFonts w:ascii="仿宋_GB2312"/>
          <w:b/>
          <w:sz w:val="28"/>
          <w:szCs w:val="28"/>
        </w:rPr>
        <w:t>1</w:t>
      </w:r>
      <w:r>
        <w:rPr>
          <w:rFonts w:hint="eastAsia" w:ascii="仿宋_GB2312"/>
          <w:b/>
          <w:sz w:val="28"/>
          <w:szCs w:val="28"/>
        </w:rPr>
        <w:t>.4、气象信息智能交互与服务系统</w:t>
      </w:r>
    </w:p>
    <w:p>
      <w:pPr>
        <w:spacing w:line="360" w:lineRule="auto"/>
        <w:ind w:firstLine="560"/>
        <w:jc w:val="left"/>
        <w:rPr>
          <w:rFonts w:ascii="仿宋_GB2312"/>
          <w:color w:val="FF0000"/>
          <w:sz w:val="28"/>
          <w:szCs w:val="28"/>
        </w:rPr>
      </w:pPr>
      <w:r>
        <w:rPr>
          <w:rFonts w:hint="eastAsia" w:ascii="仿宋_GB2312"/>
          <w:sz w:val="28"/>
          <w:szCs w:val="28"/>
        </w:rPr>
        <w:t>利用语音、图像识别、大数据搜索与智能匹配等AI技术，以及虚拟现实VR显示、5G等相关信息技术，建立更加智能化的气象服务需求智能交互、快速响应的应用场景和信息展示系统。进一步加强历史数据、实况数据和预报数据的融合应用，加强与慈溪城市大脑的数据共享，完善慈溪数字政府系统的气象相关功能模块，并在此基础上构建更加完善的决策服务气象服务系统和公众服务系统。</w:t>
      </w:r>
    </w:p>
    <w:p>
      <w:pPr>
        <w:pStyle w:val="30"/>
        <w:spacing w:line="360" w:lineRule="auto"/>
        <w:ind w:left="562" w:firstLine="0" w:firstLineChars="0"/>
        <w:jc w:val="left"/>
        <w:rPr>
          <w:rFonts w:ascii="仿宋_GB2312"/>
          <w:b/>
          <w:sz w:val="28"/>
          <w:szCs w:val="28"/>
        </w:rPr>
      </w:pPr>
      <w:r>
        <w:rPr>
          <w:rFonts w:hint="eastAsia" w:ascii="仿宋_GB2312"/>
          <w:b/>
          <w:sz w:val="28"/>
          <w:szCs w:val="28"/>
        </w:rPr>
        <w:t>2.</w:t>
      </w:r>
      <w:r>
        <w:rPr>
          <w:rFonts w:ascii="仿宋_GB2312"/>
          <w:b/>
          <w:sz w:val="28"/>
          <w:szCs w:val="28"/>
        </w:rPr>
        <w:t>党建融气象业务与科普宣传展示建设</w:t>
      </w:r>
    </w:p>
    <w:p>
      <w:pPr>
        <w:spacing w:line="360" w:lineRule="auto"/>
        <w:ind w:firstLine="562"/>
        <w:jc w:val="left"/>
        <w:rPr>
          <w:rFonts w:ascii="仿宋_GB2312"/>
          <w:sz w:val="28"/>
          <w:szCs w:val="28"/>
        </w:rPr>
      </w:pPr>
      <w:r>
        <w:rPr>
          <w:rFonts w:ascii="仿宋_GB2312"/>
          <w:b/>
          <w:bCs/>
          <w:sz w:val="28"/>
          <w:szCs w:val="28"/>
        </w:rPr>
        <w:t>2.1</w:t>
      </w:r>
      <w:r>
        <w:rPr>
          <w:rFonts w:hint="eastAsia" w:ascii="仿宋_GB2312"/>
          <w:b/>
          <w:sz w:val="28"/>
          <w:szCs w:val="28"/>
        </w:rPr>
        <w:t>、构建慈溪气象党建融业务展示厅</w:t>
      </w:r>
    </w:p>
    <w:p>
      <w:pPr>
        <w:spacing w:line="360" w:lineRule="auto"/>
        <w:ind w:firstLine="560"/>
        <w:jc w:val="left"/>
        <w:rPr>
          <w:rFonts w:ascii="仿宋_GB2312"/>
          <w:sz w:val="28"/>
          <w:szCs w:val="28"/>
        </w:rPr>
      </w:pPr>
      <w:r>
        <w:rPr>
          <w:rFonts w:hint="eastAsia" w:ascii="仿宋_GB2312"/>
          <w:sz w:val="28"/>
          <w:szCs w:val="28"/>
        </w:rPr>
        <w:t>展示厅主要内容包括气象事业发展历史沿革、重大气候事件、历史工作场景复刻、台站与党建风采；以及当前党建工作与团队建设展示，慈溪气象文化展示等内容。</w:t>
      </w:r>
    </w:p>
    <w:p>
      <w:pPr>
        <w:pStyle w:val="30"/>
        <w:spacing w:line="360" w:lineRule="auto"/>
        <w:ind w:firstLine="562"/>
        <w:jc w:val="left"/>
        <w:rPr>
          <w:rFonts w:ascii="仿宋_GB2312"/>
          <w:sz w:val="28"/>
          <w:szCs w:val="28"/>
        </w:rPr>
      </w:pPr>
      <w:r>
        <w:rPr>
          <w:rFonts w:ascii="仿宋_GB2312"/>
          <w:b/>
          <w:bCs/>
          <w:sz w:val="28"/>
          <w:szCs w:val="28"/>
        </w:rPr>
        <w:t>2.2</w:t>
      </w:r>
      <w:r>
        <w:rPr>
          <w:rFonts w:hint="eastAsia" w:ascii="仿宋_GB2312"/>
          <w:b/>
          <w:sz w:val="28"/>
          <w:szCs w:val="28"/>
        </w:rPr>
        <w:t>、完善气象科普设施和场地建设</w:t>
      </w:r>
    </w:p>
    <w:p>
      <w:pPr>
        <w:pStyle w:val="30"/>
        <w:spacing w:line="360" w:lineRule="auto"/>
        <w:ind w:firstLine="560"/>
        <w:jc w:val="left"/>
        <w:rPr>
          <w:rFonts w:ascii="仿宋_GB2312"/>
          <w:sz w:val="28"/>
          <w:szCs w:val="28"/>
        </w:rPr>
      </w:pPr>
      <w:r>
        <w:rPr>
          <w:rFonts w:hint="eastAsia" w:ascii="仿宋_GB2312"/>
          <w:sz w:val="28"/>
          <w:szCs w:val="28"/>
        </w:rPr>
        <w:t>进一步提升现有气象科普设施和场地的展示宣传能力，利用现有设备建立气象影视小主持人实践基地，开展气象学堂、城市气象科普站建设。加强与慈溪科技馆、志愿团队和学校的合作。在慈溪科技馆筹建气象科普展厅。选择基础条件较好的学校，开展校园气象科普基地建设，与志愿者团队合作，构建标准化的气象科普宣讲团队与模式。强化乡村文化礼堂的气象科普元素，通过对气象灾害风险易发区农村文化礼堂的气象防灾减灾科普设施建设，提升气象宣传在防灾减灾中的作用。</w:t>
      </w:r>
    </w:p>
    <w:p>
      <w:pPr>
        <w:pStyle w:val="3"/>
        <w:ind w:firstLine="452"/>
        <w:rPr>
          <w:rFonts w:hint="eastAsia" w:ascii="华文楷体" w:hAnsi="华文楷体" w:eastAsia="华文楷体" w:cs="华文楷体"/>
        </w:rPr>
      </w:pPr>
      <w:bookmarkStart w:id="22" w:name="_Toc75160703"/>
      <w:r>
        <w:rPr>
          <w:rFonts w:hint="eastAsia" w:ascii="华文楷体" w:hAnsi="华文楷体" w:eastAsia="华文楷体" w:cs="华文楷体"/>
        </w:rPr>
        <w:t>（三）生态气象服务保障能力建设工程</w:t>
      </w:r>
      <w:bookmarkEnd w:id="22"/>
    </w:p>
    <w:p>
      <w:pPr>
        <w:ind w:firstLine="602"/>
        <w:rPr>
          <w:b/>
        </w:rPr>
      </w:pPr>
      <w:r>
        <w:rPr>
          <w:rFonts w:hint="eastAsia"/>
          <w:b/>
        </w:rPr>
        <w:t>1</w:t>
      </w:r>
      <w:r>
        <w:rPr>
          <w:b/>
        </w:rPr>
        <w:t>.</w:t>
      </w:r>
      <w:r>
        <w:rPr>
          <w:rFonts w:hint="eastAsia" w:ascii="仿宋_GB2312"/>
          <w:b/>
          <w:sz w:val="28"/>
          <w:szCs w:val="28"/>
        </w:rPr>
        <w:t>浙江省生态文明气象保障服务行动计划慈溪区域项目建设</w:t>
      </w:r>
    </w:p>
    <w:p>
      <w:pPr>
        <w:spacing w:line="360" w:lineRule="auto"/>
        <w:ind w:firstLine="560"/>
        <w:jc w:val="left"/>
        <w:rPr>
          <w:rFonts w:ascii="仿宋_GB2312"/>
          <w:sz w:val="28"/>
          <w:szCs w:val="28"/>
        </w:rPr>
      </w:pPr>
      <w:r>
        <w:rPr>
          <w:rFonts w:hint="eastAsia" w:ascii="仿宋_GB2312"/>
          <w:sz w:val="28"/>
          <w:szCs w:val="28"/>
        </w:rPr>
        <w:t>根据《中国气象局关于加强生态文明建设气象保障服务工作的意见》、《浙江省生态文明示范创建行动计划》和《浙江省生态文明建设气象保障服务行动计划（2020-2022年）》的建设要求和部署，在慈溪区域内建设一个综合生态气象观测核心站，开展不同生态要素的观测，对多类型复合生态系统的温室气体、碳水通量、能量通量、物质浓度等各指标进行监测与分析，为高水平建设新时代美丽浙江提供数据支持。</w:t>
      </w:r>
    </w:p>
    <w:p>
      <w:pPr>
        <w:spacing w:line="360" w:lineRule="auto"/>
        <w:ind w:firstLine="562"/>
        <w:jc w:val="left"/>
        <w:rPr>
          <w:rFonts w:ascii="仿宋_GB2312"/>
          <w:b/>
          <w:sz w:val="28"/>
          <w:szCs w:val="28"/>
        </w:rPr>
      </w:pPr>
      <w:r>
        <w:rPr>
          <w:rFonts w:hint="eastAsia" w:ascii="仿宋_GB2312"/>
          <w:b/>
          <w:sz w:val="28"/>
          <w:szCs w:val="28"/>
        </w:rPr>
        <w:t>2</w:t>
      </w:r>
      <w:r>
        <w:rPr>
          <w:rFonts w:ascii="仿宋_GB2312"/>
          <w:b/>
          <w:sz w:val="28"/>
          <w:szCs w:val="28"/>
        </w:rPr>
        <w:t xml:space="preserve">. </w:t>
      </w:r>
      <w:r>
        <w:rPr>
          <w:rFonts w:hint="eastAsia" w:ascii="仿宋_GB2312"/>
          <w:b/>
          <w:sz w:val="28"/>
          <w:szCs w:val="28"/>
        </w:rPr>
        <w:t>大气环境气象保障服务与人影能力提升工程建设</w:t>
      </w:r>
    </w:p>
    <w:p>
      <w:pPr>
        <w:pStyle w:val="30"/>
        <w:spacing w:line="360" w:lineRule="auto"/>
        <w:ind w:left="630" w:firstLine="0" w:firstLineChars="0"/>
        <w:jc w:val="left"/>
        <w:rPr>
          <w:rFonts w:ascii="仿宋_GB2312"/>
          <w:b/>
          <w:sz w:val="28"/>
          <w:szCs w:val="28"/>
        </w:rPr>
      </w:pPr>
      <w:r>
        <w:rPr>
          <w:rFonts w:hint="eastAsia" w:ascii="仿宋_GB2312"/>
          <w:b/>
          <w:sz w:val="28"/>
          <w:szCs w:val="28"/>
        </w:rPr>
        <w:t>2.1、围绕生态项目建设的大气环境监测站点布设与服务评估。</w:t>
      </w:r>
    </w:p>
    <w:p>
      <w:pPr>
        <w:spacing w:line="360" w:lineRule="auto"/>
        <w:ind w:firstLine="560"/>
        <w:jc w:val="left"/>
        <w:rPr>
          <w:rFonts w:ascii="仿宋_GB2312"/>
          <w:sz w:val="28"/>
          <w:szCs w:val="28"/>
        </w:rPr>
      </w:pPr>
      <w:r>
        <w:rPr>
          <w:rFonts w:hint="eastAsia" w:ascii="仿宋_GB2312"/>
          <w:sz w:val="28"/>
          <w:szCs w:val="28"/>
        </w:rPr>
        <w:t>按照“诗画浙江”大花园，全省域美丽国土空间建设的相关要求，通过对重点旅游景区、康养小镇、生态村镇等区域的基本气象要素、负离子浓度、紫外线以及当地天气变化过程等环境要素布设站点，进行实时监测，为慈溪开展“乡村氧吧”、“气候宜居城市”的创建工作，以及“全域旅游”中的花期预报和特色景观气象条件概率预报服务提供数据支撑。</w:t>
      </w:r>
    </w:p>
    <w:p>
      <w:pPr>
        <w:spacing w:line="360" w:lineRule="auto"/>
        <w:ind w:firstLine="560"/>
        <w:jc w:val="left"/>
        <w:rPr>
          <w:rFonts w:ascii="仿宋_GB2312"/>
          <w:sz w:val="28"/>
          <w:szCs w:val="28"/>
        </w:rPr>
      </w:pPr>
      <w:r>
        <w:rPr>
          <w:rFonts w:hint="eastAsia" w:ascii="仿宋_GB2312"/>
          <w:sz w:val="28"/>
          <w:szCs w:val="28"/>
        </w:rPr>
        <w:t>加强对生态环境监测数据的分析与评估应用。建立气象要素对生态环境影响的预测和评估服务产品，提高生态环境气象保障服务能力与技术水平。</w:t>
      </w:r>
    </w:p>
    <w:p>
      <w:pPr>
        <w:pStyle w:val="30"/>
        <w:spacing w:line="360" w:lineRule="auto"/>
        <w:ind w:left="630" w:firstLine="0" w:firstLineChars="0"/>
        <w:jc w:val="left"/>
        <w:rPr>
          <w:rFonts w:ascii="仿宋_GB2312"/>
          <w:b/>
          <w:sz w:val="28"/>
          <w:szCs w:val="28"/>
        </w:rPr>
      </w:pPr>
      <w:r>
        <w:rPr>
          <w:rFonts w:hint="eastAsia" w:ascii="仿宋_GB2312"/>
          <w:b/>
          <w:sz w:val="28"/>
          <w:szCs w:val="28"/>
        </w:rPr>
        <w:t>2.2、人工影响天气能力建设</w:t>
      </w:r>
    </w:p>
    <w:p>
      <w:pPr>
        <w:spacing w:line="360" w:lineRule="auto"/>
        <w:ind w:firstLine="560"/>
        <w:jc w:val="left"/>
        <w:rPr>
          <w:rFonts w:ascii="仿宋_GB2312"/>
          <w:sz w:val="28"/>
          <w:szCs w:val="28"/>
        </w:rPr>
      </w:pPr>
      <w:r>
        <w:rPr>
          <w:rFonts w:hint="eastAsia" w:ascii="仿宋_GB2312"/>
          <w:sz w:val="28"/>
          <w:szCs w:val="28"/>
        </w:rPr>
        <w:t>依托标准化技术、物联网技术和信息技术，加强人工影响天气能力建设，调整与优化人影作业点，开展标准化建设，提高人影的覆盖面和有效性。加强人影作业指导和效果评估平台建设的本地化应用。通过基于气象历史数据、雷达数据，结合本地作业需要，建设人影作业指导和效果评估平台，为人工影响天气的科学作业和定量化决策提供支撑。</w:t>
      </w:r>
    </w:p>
    <w:p>
      <w:pPr>
        <w:pStyle w:val="2"/>
        <w:ind w:firstLine="643"/>
        <w:rPr>
          <w:rFonts w:hint="eastAsia" w:ascii="黑体" w:hAnsi="黑体" w:eastAsia="黑体" w:cs="黑体"/>
          <w:b w:val="0"/>
          <w:bCs w:val="0"/>
          <w:color w:val="000000" w:themeColor="text1"/>
          <w:sz w:val="32"/>
          <w:szCs w:val="32"/>
          <w14:textFill>
            <w14:solidFill>
              <w14:schemeClr w14:val="tx1"/>
            </w14:solidFill>
          </w14:textFill>
        </w:rPr>
      </w:pPr>
      <w:bookmarkStart w:id="23" w:name="_Toc75160704"/>
      <w:r>
        <w:rPr>
          <w:rFonts w:hint="eastAsia" w:ascii="黑体" w:hAnsi="黑体" w:eastAsia="黑体" w:cs="黑体"/>
          <w:b w:val="0"/>
          <w:bCs w:val="0"/>
          <w:color w:val="000000" w:themeColor="text1"/>
          <w:sz w:val="32"/>
          <w:szCs w:val="32"/>
          <w14:textFill>
            <w14:solidFill>
              <w14:schemeClr w14:val="tx1"/>
            </w14:solidFill>
          </w14:textFill>
        </w:rPr>
        <w:t>五、保障措施</w:t>
      </w:r>
      <w:bookmarkEnd w:id="23"/>
    </w:p>
    <w:p>
      <w:pPr>
        <w:spacing w:line="360" w:lineRule="auto"/>
        <w:ind w:firstLine="562"/>
        <w:jc w:val="left"/>
        <w:rPr>
          <w:rFonts w:hint="eastAsia" w:ascii="华文楷体" w:hAnsi="华文楷体" w:eastAsia="华文楷体" w:cs="华文楷体"/>
          <w:b/>
          <w:sz w:val="28"/>
          <w:szCs w:val="28"/>
        </w:rPr>
      </w:pPr>
      <w:r>
        <w:rPr>
          <w:rFonts w:hint="eastAsia" w:ascii="华文楷体" w:hAnsi="华文楷体" w:eastAsia="华文楷体" w:cs="华文楷体"/>
          <w:b/>
          <w:sz w:val="28"/>
          <w:szCs w:val="28"/>
        </w:rPr>
        <w:t>（一）加强组织领导</w:t>
      </w:r>
    </w:p>
    <w:p>
      <w:pPr>
        <w:spacing w:line="360" w:lineRule="auto"/>
        <w:ind w:firstLine="560"/>
        <w:jc w:val="left"/>
        <w:rPr>
          <w:rFonts w:ascii="仿宋_GB2312"/>
          <w:sz w:val="28"/>
          <w:szCs w:val="28"/>
        </w:rPr>
      </w:pPr>
      <w:r>
        <w:rPr>
          <w:rFonts w:hint="eastAsia" w:ascii="仿宋_GB2312"/>
          <w:sz w:val="28"/>
          <w:szCs w:val="28"/>
        </w:rPr>
        <w:t>坚持党的集中统一领导，强化党的建设与核心作用，为实现高质量发展提供根本保证。明确气象事业作为科技型、基础性社会公益事业的地位，充分认识气象在防灾减灾、经济建设、社会发展和服务群众生活等方面的重要作用。坚持气象部门与地方政府双重领导体制，明确气象与各部门职能分工，完善部门协作与应急联动机制，形成推进合力。将气象事业发展规划作为“十四五”经济社会发展规划的重要内容，纳入地方政府的工作计划，分解落实气象发展规划目标任务和重点建设工程，实现气象服务功能与产业发展需要之间的完美融合，推进慈溪气象事业与地方经济社会协调发展。</w:t>
      </w:r>
    </w:p>
    <w:p>
      <w:pPr>
        <w:spacing w:line="360" w:lineRule="auto"/>
        <w:ind w:firstLine="562"/>
        <w:jc w:val="left"/>
        <w:rPr>
          <w:rFonts w:hint="eastAsia" w:ascii="华文楷体" w:hAnsi="华文楷体" w:eastAsia="华文楷体" w:cs="华文楷体"/>
          <w:b/>
          <w:sz w:val="28"/>
          <w:szCs w:val="28"/>
        </w:rPr>
      </w:pPr>
      <w:bookmarkStart w:id="24" w:name="_Toc447182959"/>
      <w:bookmarkStart w:id="25" w:name="_Toc447184069"/>
      <w:bookmarkStart w:id="26" w:name="_Toc447184515"/>
      <w:bookmarkStart w:id="27" w:name="_Toc461091224"/>
      <w:r>
        <w:rPr>
          <w:rFonts w:hint="eastAsia" w:ascii="华文楷体" w:hAnsi="华文楷体" w:eastAsia="华文楷体" w:cs="华文楷体"/>
          <w:b/>
          <w:sz w:val="28"/>
          <w:szCs w:val="28"/>
        </w:rPr>
        <w:t>（二）</w:t>
      </w:r>
      <w:bookmarkEnd w:id="24"/>
      <w:bookmarkEnd w:id="25"/>
      <w:bookmarkEnd w:id="26"/>
      <w:bookmarkEnd w:id="27"/>
      <w:r>
        <w:rPr>
          <w:rFonts w:hint="eastAsia" w:ascii="华文楷体" w:hAnsi="华文楷体" w:eastAsia="华文楷体" w:cs="华文楷体"/>
          <w:b/>
          <w:sz w:val="28"/>
          <w:szCs w:val="28"/>
        </w:rPr>
        <w:t>强化党建与业务深度融合</w:t>
      </w:r>
    </w:p>
    <w:p>
      <w:pPr>
        <w:spacing w:line="360" w:lineRule="auto"/>
        <w:ind w:firstLine="560"/>
        <w:jc w:val="left"/>
        <w:rPr>
          <w:rFonts w:ascii="仿宋_GB2312"/>
          <w:sz w:val="28"/>
          <w:szCs w:val="28"/>
        </w:rPr>
      </w:pPr>
      <w:r>
        <w:rPr>
          <w:rFonts w:hint="eastAsia" w:ascii="仿宋_GB2312"/>
          <w:sz w:val="28"/>
          <w:szCs w:val="28"/>
        </w:rPr>
        <w:t>以习近平新时代中国特色社会主义思想为指导，认真学习贯彻党的十九大精神和习近平总书记对气象工作的重要批示指示精神，牢牢把握“让党中央放心”的政治要求、“让人民群众满意”的宗旨要求和“忠诚、干净、担当，为民、务实、清廉”的工作要求，推进基层气象部门党的建设高质量发展和党建强业的目标。落实</w:t>
      </w:r>
      <w:r>
        <w:rPr>
          <w:rFonts w:hint="eastAsia" w:ascii="仿宋_GB2312"/>
          <w:sz w:val="28"/>
          <w:szCs w:val="28"/>
          <w:lang w:val="en-US" w:eastAsia="zh-CN"/>
        </w:rPr>
        <w:t>全面</w:t>
      </w:r>
      <w:r>
        <w:rPr>
          <w:rFonts w:hint="eastAsia" w:ascii="仿宋_GB2312"/>
          <w:sz w:val="28"/>
          <w:szCs w:val="28"/>
        </w:rPr>
        <w:t>从严治党工作，通过推进学习型、服务型党组织建设，在实际业务工作和为群众服务活动中，加强对党员的管理和教育，充分发挥基层党组织的战斗堡垒作用和党员先锋模范作用</w:t>
      </w:r>
    </w:p>
    <w:p>
      <w:pPr>
        <w:spacing w:line="360" w:lineRule="auto"/>
        <w:ind w:firstLine="562"/>
        <w:jc w:val="left"/>
        <w:rPr>
          <w:rFonts w:hint="eastAsia" w:ascii="华文楷体" w:hAnsi="华文楷体" w:eastAsia="华文楷体" w:cs="华文楷体"/>
          <w:b/>
          <w:sz w:val="28"/>
          <w:szCs w:val="28"/>
        </w:rPr>
      </w:pPr>
      <w:r>
        <w:rPr>
          <w:rFonts w:hint="eastAsia" w:ascii="华文楷体" w:hAnsi="华文楷体" w:eastAsia="华文楷体" w:cs="华文楷体"/>
          <w:b/>
          <w:sz w:val="28"/>
          <w:szCs w:val="28"/>
        </w:rPr>
        <w:t>（三）优化发展环境</w:t>
      </w:r>
    </w:p>
    <w:p>
      <w:pPr>
        <w:spacing w:line="360" w:lineRule="auto"/>
        <w:ind w:firstLine="560"/>
        <w:jc w:val="left"/>
        <w:rPr>
          <w:rFonts w:ascii="仿宋_GB2312"/>
          <w:sz w:val="28"/>
          <w:szCs w:val="28"/>
        </w:rPr>
      </w:pPr>
      <w:r>
        <w:rPr>
          <w:rFonts w:hint="eastAsia" w:ascii="仿宋_GB2312"/>
          <w:sz w:val="28"/>
          <w:szCs w:val="28"/>
        </w:rPr>
        <w:t>认真贯彻国家有关气象法律法规，细化落实地方性气象法规的措施与办法。完善办事公开、行政执法、机关管理等一系列气象工作制度。加强行政执法、行政审批机构和队伍建设，严格执行各项气象行政审批制度，提高气象依法行政的能力和水平。依法履行气象防灾减灾职责，开展公共气象服务，加大对气象设施保护和对气象探测环境、气象信息服务、雷电灾害防御、人工影响天气、施放气球等方面的监督管理力度，营造便民高效的气象服务环境。</w:t>
      </w:r>
    </w:p>
    <w:p>
      <w:pPr>
        <w:spacing w:line="360" w:lineRule="auto"/>
        <w:ind w:firstLine="562"/>
        <w:jc w:val="left"/>
        <w:rPr>
          <w:rFonts w:hint="eastAsia" w:ascii="华文楷体" w:hAnsi="华文楷体" w:eastAsia="华文楷体" w:cs="华文楷体"/>
          <w:b/>
          <w:sz w:val="28"/>
          <w:szCs w:val="28"/>
        </w:rPr>
      </w:pPr>
      <w:r>
        <w:rPr>
          <w:rFonts w:hint="eastAsia" w:ascii="华文楷体" w:hAnsi="华文楷体" w:eastAsia="华文楷体" w:cs="华文楷体"/>
          <w:b/>
          <w:sz w:val="28"/>
          <w:szCs w:val="28"/>
        </w:rPr>
        <w:t>（四）深化部门交流与合作</w:t>
      </w:r>
    </w:p>
    <w:p>
      <w:pPr>
        <w:spacing w:line="360" w:lineRule="auto"/>
        <w:ind w:firstLine="560"/>
        <w:jc w:val="left"/>
        <w:rPr>
          <w:rFonts w:ascii="仿宋_GB2312"/>
          <w:sz w:val="28"/>
          <w:szCs w:val="28"/>
        </w:rPr>
      </w:pPr>
      <w:r>
        <w:rPr>
          <w:rFonts w:hint="eastAsia" w:ascii="仿宋_GB2312"/>
          <w:sz w:val="28"/>
          <w:szCs w:val="28"/>
        </w:rPr>
        <w:t>根据慈溪气象发展实际，瞄准气象发展前沿领域的落地应用，加强和深化气象部门与相关部门、乡镇、行业、企业之间的交流与合作，增强合作广度与深度，实现气象与其他行业的协同发展，全面提升气象防灾减灾能力和公共气象服务能力。坚持合作共赢的发展理念，进一步整合社会有效资源，实现集约化的利用，推动多部门资源的共建共享，携手共同发展。</w:t>
      </w:r>
    </w:p>
    <w:p>
      <w:pPr>
        <w:spacing w:line="360" w:lineRule="auto"/>
        <w:ind w:firstLine="562"/>
        <w:jc w:val="left"/>
        <w:rPr>
          <w:rFonts w:hint="eastAsia" w:ascii="华文楷体" w:hAnsi="华文楷体" w:eastAsia="华文楷体" w:cs="华文楷体"/>
          <w:b/>
          <w:sz w:val="28"/>
          <w:szCs w:val="28"/>
        </w:rPr>
      </w:pPr>
      <w:r>
        <w:rPr>
          <w:rFonts w:hint="eastAsia" w:ascii="华文楷体" w:hAnsi="华文楷体" w:eastAsia="华文楷体" w:cs="华文楷体"/>
          <w:b/>
          <w:sz w:val="28"/>
          <w:szCs w:val="28"/>
        </w:rPr>
        <w:t>（五）强化资金保障</w:t>
      </w:r>
    </w:p>
    <w:p>
      <w:pPr>
        <w:spacing w:line="360" w:lineRule="auto"/>
        <w:ind w:firstLine="560"/>
        <w:jc w:val="left"/>
        <w:rPr>
          <w:rFonts w:ascii="仿宋_GB2312"/>
          <w:sz w:val="28"/>
          <w:szCs w:val="28"/>
        </w:rPr>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pPr>
      <w:r>
        <w:rPr>
          <w:rFonts w:hint="eastAsia" w:ascii="仿宋_GB2312"/>
          <w:sz w:val="28"/>
          <w:szCs w:val="28"/>
        </w:rPr>
        <w:t>配合上级气象部门，科学合理划分市县两级的财政事权和支出责任，形成合理授权、依法依规、运转高效的气象财政事权和支出责任划分模式，实现财政事权与支出责任相匹配。加大地方财政对气象的支持力度，推动公共气象服务纳入政府购买公共服务的指导性目录，建立相应的服务机制和清单；完善稳定增长的气象事业发展财政投入机制。积极改善投资环境，创新公平准入条件，拓宽以政府投入为主、社会投入为辅的多元化投入渠道，加大在气象基础设施建设、科学研究、人才培养、技术研发、科普宣传和教育培训等领域的经费投入。</w:t>
      </w:r>
    </w:p>
    <w:p>
      <w:pPr>
        <w:ind w:firstLine="602" w:firstLineChars="0"/>
        <w:jc w:val="center"/>
        <w:rPr>
          <w:rFonts w:ascii="仿宋_GB2312"/>
          <w:color w:val="000000"/>
          <w:szCs w:val="30"/>
        </w:rPr>
      </w:pPr>
      <w:r>
        <w:rPr>
          <w:rFonts w:hint="eastAsia" w:ascii="仿宋_GB2312" w:cs="Times New Roman"/>
          <w:b/>
          <w:color w:val="000000" w:themeColor="text1"/>
          <w14:textFill>
            <w14:solidFill>
              <w14:schemeClr w14:val="tx1"/>
            </w14:solidFill>
          </w14:textFill>
        </w:rPr>
        <w:t>附表</w:t>
      </w:r>
      <w:bookmarkStart w:id="28" w:name="_Toc461091225"/>
      <w:r>
        <w:rPr>
          <w:rFonts w:hint="eastAsia" w:ascii="仿宋_GB2312" w:cs="Times New Roman"/>
          <w:b/>
          <w:color w:val="000000" w:themeColor="text1"/>
          <w14:textFill>
            <w14:solidFill>
              <w14:schemeClr w14:val="tx1"/>
            </w14:solidFill>
          </w14:textFill>
        </w:rPr>
        <w:t xml:space="preserve"> </w:t>
      </w:r>
      <w:r>
        <w:rPr>
          <w:rFonts w:hint="eastAsia" w:ascii="仿宋_GB2312"/>
          <w:color w:val="000000"/>
          <w:szCs w:val="30"/>
        </w:rPr>
        <w:t>慈溪市气象发展 “十四五”规划重点项目表</w:t>
      </w:r>
      <w:bookmarkEnd w:id="28"/>
    </w:p>
    <w:p>
      <w:pPr>
        <w:ind w:firstLine="0" w:firstLineChars="0"/>
        <w:rPr>
          <w:rFonts w:ascii="仿宋_GB2312" w:cs="Times New Roman"/>
          <w:sz w:val="21"/>
          <w:szCs w:val="24"/>
        </w:rPr>
      </w:pPr>
    </w:p>
    <w:tbl>
      <w:tblPr>
        <w:tblStyle w:val="16"/>
        <w:tblW w:w="12899" w:type="dxa"/>
        <w:tblInd w:w="534" w:type="dxa"/>
        <w:tblLayout w:type="autofit"/>
        <w:tblCellMar>
          <w:top w:w="0" w:type="dxa"/>
          <w:left w:w="108" w:type="dxa"/>
          <w:bottom w:w="0" w:type="dxa"/>
          <w:right w:w="108" w:type="dxa"/>
        </w:tblCellMar>
      </w:tblPr>
      <w:tblGrid>
        <w:gridCol w:w="681"/>
        <w:gridCol w:w="1839"/>
        <w:gridCol w:w="7426"/>
        <w:gridCol w:w="968"/>
        <w:gridCol w:w="992"/>
        <w:gridCol w:w="993"/>
      </w:tblGrid>
      <w:tr>
        <w:tblPrEx>
          <w:tblCellMar>
            <w:top w:w="0" w:type="dxa"/>
            <w:left w:w="108" w:type="dxa"/>
            <w:bottom w:w="0" w:type="dxa"/>
            <w:right w:w="108" w:type="dxa"/>
          </w:tblCellMar>
        </w:tblPrEx>
        <w:trPr>
          <w:trHeight w:val="270" w:hRule="atLeast"/>
        </w:trPr>
        <w:tc>
          <w:tcPr>
            <w:tcW w:w="68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b/>
                <w:bCs/>
                <w:color w:val="000000"/>
                <w:kern w:val="0"/>
                <w:sz w:val="22"/>
              </w:rPr>
            </w:pPr>
            <w:r>
              <w:rPr>
                <w:rFonts w:hint="eastAsia" w:ascii="仿宋_GB2312" w:hAnsi="宋体" w:cs="宋体"/>
                <w:b/>
                <w:bCs/>
                <w:color w:val="000000"/>
                <w:kern w:val="0"/>
                <w:sz w:val="22"/>
              </w:rPr>
              <w:t>序号</w:t>
            </w:r>
          </w:p>
        </w:tc>
        <w:tc>
          <w:tcPr>
            <w:tcW w:w="183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b/>
                <w:bCs/>
                <w:color w:val="000000"/>
                <w:kern w:val="0"/>
                <w:sz w:val="22"/>
              </w:rPr>
            </w:pPr>
            <w:r>
              <w:rPr>
                <w:rFonts w:hint="eastAsia" w:ascii="仿宋_GB2312" w:hAnsi="宋体" w:cs="宋体"/>
                <w:b/>
                <w:bCs/>
                <w:color w:val="000000"/>
                <w:kern w:val="0"/>
                <w:sz w:val="22"/>
              </w:rPr>
              <w:t>工程名称</w:t>
            </w:r>
          </w:p>
        </w:tc>
        <w:tc>
          <w:tcPr>
            <w:tcW w:w="742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b/>
                <w:bCs/>
                <w:color w:val="000000"/>
                <w:kern w:val="0"/>
                <w:sz w:val="22"/>
              </w:rPr>
            </w:pPr>
            <w:r>
              <w:rPr>
                <w:rFonts w:hint="eastAsia" w:ascii="仿宋_GB2312" w:hAnsi="宋体" w:cs="宋体"/>
                <w:b/>
                <w:bCs/>
                <w:color w:val="000000"/>
                <w:kern w:val="0"/>
                <w:sz w:val="22"/>
              </w:rPr>
              <w:t>具体建设内容及规模</w:t>
            </w:r>
          </w:p>
        </w:tc>
        <w:tc>
          <w:tcPr>
            <w:tcW w:w="968" w:type="dxa"/>
            <w:vMerge w:val="restart"/>
            <w:tcBorders>
              <w:top w:val="single" w:color="auto" w:sz="4" w:space="0"/>
              <w:left w:val="nil"/>
              <w:right w:val="single" w:color="auto" w:sz="4" w:space="0"/>
            </w:tcBorders>
          </w:tcPr>
          <w:p>
            <w:pPr>
              <w:widowControl/>
              <w:ind w:firstLine="0" w:firstLineChars="0"/>
              <w:jc w:val="center"/>
              <w:rPr>
                <w:rFonts w:ascii="仿宋_GB2312" w:hAnsi="宋体" w:cs="宋体"/>
                <w:b/>
                <w:bCs/>
                <w:color w:val="000000"/>
                <w:kern w:val="0"/>
                <w:sz w:val="22"/>
              </w:rPr>
            </w:pPr>
            <w:r>
              <w:rPr>
                <w:rFonts w:ascii="仿宋_GB2312" w:hAnsi="宋体" w:cs="宋体"/>
                <w:b/>
                <w:bCs/>
                <w:color w:val="000000"/>
                <w:kern w:val="0"/>
                <w:sz w:val="22"/>
              </w:rPr>
              <w:t>数量</w:t>
            </w:r>
          </w:p>
        </w:tc>
        <w:tc>
          <w:tcPr>
            <w:tcW w:w="198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b/>
                <w:bCs/>
                <w:color w:val="000000"/>
                <w:kern w:val="0"/>
                <w:sz w:val="22"/>
              </w:rPr>
            </w:pPr>
            <w:r>
              <w:rPr>
                <w:rFonts w:hint="eastAsia" w:ascii="仿宋_GB2312" w:hAnsi="宋体" w:cs="宋体"/>
                <w:b/>
                <w:bCs/>
                <w:color w:val="000000"/>
                <w:kern w:val="0"/>
                <w:sz w:val="22"/>
              </w:rPr>
              <w:t>投资估算（万元）</w:t>
            </w:r>
          </w:p>
        </w:tc>
      </w:tr>
      <w:tr>
        <w:tblPrEx>
          <w:tblCellMar>
            <w:top w:w="0" w:type="dxa"/>
            <w:left w:w="108" w:type="dxa"/>
            <w:bottom w:w="0" w:type="dxa"/>
            <w:right w:w="108" w:type="dxa"/>
          </w:tblCellMar>
        </w:tblPrEx>
        <w:trPr>
          <w:trHeight w:val="270" w:hRule="atLeast"/>
        </w:trPr>
        <w:tc>
          <w:tcPr>
            <w:tcW w:w="68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742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968" w:type="dxa"/>
            <w:vMerge w:val="continue"/>
            <w:tcBorders>
              <w:left w:val="nil"/>
              <w:bottom w:val="single" w:color="auto" w:sz="4" w:space="0"/>
              <w:right w:val="single" w:color="auto" w:sz="4" w:space="0"/>
            </w:tcBorders>
          </w:tcPr>
          <w:p>
            <w:pPr>
              <w:widowControl/>
              <w:ind w:firstLine="0" w:firstLineChars="0"/>
              <w:jc w:val="center"/>
              <w:rPr>
                <w:rFonts w:ascii="仿宋_GB2312" w:hAnsi="宋体" w:cs="宋体"/>
                <w:b/>
                <w:bCs/>
                <w:color w:val="000000"/>
                <w:kern w:val="0"/>
                <w:sz w:val="22"/>
              </w:rPr>
            </w:pP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b/>
                <w:bCs/>
                <w:color w:val="000000"/>
                <w:kern w:val="0"/>
                <w:sz w:val="22"/>
              </w:rPr>
            </w:pPr>
            <w:r>
              <w:rPr>
                <w:rFonts w:hint="eastAsia" w:ascii="仿宋_GB2312" w:hAnsi="宋体" w:cs="宋体"/>
                <w:b/>
                <w:bCs/>
                <w:color w:val="000000"/>
                <w:kern w:val="0"/>
                <w:sz w:val="22"/>
              </w:rPr>
              <w:t>单项</w:t>
            </w:r>
          </w:p>
        </w:tc>
        <w:tc>
          <w:tcPr>
            <w:tcW w:w="993" w:type="dxa"/>
            <w:tcBorders>
              <w:top w:val="nil"/>
              <w:left w:val="nil"/>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b/>
                <w:bCs/>
                <w:color w:val="000000"/>
                <w:kern w:val="0"/>
                <w:sz w:val="22"/>
              </w:rPr>
            </w:pPr>
            <w:r>
              <w:rPr>
                <w:rFonts w:hint="eastAsia" w:ascii="仿宋_GB2312" w:hAnsi="宋体" w:cs="宋体"/>
                <w:b/>
                <w:bCs/>
                <w:color w:val="000000"/>
                <w:kern w:val="0"/>
                <w:sz w:val="22"/>
              </w:rPr>
              <w:t>小计</w:t>
            </w:r>
          </w:p>
        </w:tc>
      </w:tr>
      <w:tr>
        <w:tblPrEx>
          <w:tblCellMar>
            <w:top w:w="0" w:type="dxa"/>
            <w:left w:w="108" w:type="dxa"/>
            <w:bottom w:w="0" w:type="dxa"/>
            <w:right w:w="108" w:type="dxa"/>
          </w:tblCellMar>
        </w:tblPrEx>
        <w:trPr>
          <w:trHeight w:val="510" w:hRule="atLeast"/>
        </w:trPr>
        <w:tc>
          <w:tcPr>
            <w:tcW w:w="681"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b/>
                <w:bCs/>
                <w:color w:val="000000"/>
                <w:kern w:val="0"/>
                <w:sz w:val="22"/>
              </w:rPr>
            </w:pPr>
            <w:r>
              <w:rPr>
                <w:rFonts w:hint="eastAsia" w:ascii="仿宋_GB2312" w:hAnsi="宋体" w:cs="宋体"/>
                <w:b/>
                <w:bCs/>
                <w:color w:val="000000"/>
                <w:kern w:val="0"/>
                <w:sz w:val="22"/>
              </w:rPr>
              <w:t>一</w:t>
            </w:r>
          </w:p>
        </w:tc>
        <w:tc>
          <w:tcPr>
            <w:tcW w:w="183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440" w:lineRule="exact"/>
              <w:ind w:firstLine="0" w:firstLineChars="0"/>
              <w:jc w:val="center"/>
              <w:rPr>
                <w:rFonts w:ascii="仿宋_GB2312" w:cs="Times New Roman"/>
                <w:b/>
                <w:kern w:val="0"/>
                <w:sz w:val="24"/>
                <w:szCs w:val="24"/>
              </w:rPr>
            </w:pPr>
            <w:r>
              <w:rPr>
                <w:rFonts w:hint="eastAsia" w:ascii="仿宋_GB2312" w:hAnsi="宋体" w:cs="宋体"/>
                <w:b/>
                <w:bCs/>
                <w:color w:val="000000"/>
                <w:kern w:val="0"/>
                <w:sz w:val="22"/>
              </w:rPr>
              <w:t>气象立体监测能力提升工程</w:t>
            </w: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区域站改造（增加全天空要素观测仪）</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r>
              <w:rPr>
                <w:rFonts w:ascii="仿宋_GB2312" w:hAnsi="宋体" w:cs="宋体"/>
                <w:kern w:val="0"/>
                <w:sz w:val="20"/>
                <w:szCs w:val="20"/>
              </w:rPr>
              <w:t>3</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color w:val="000000"/>
                <w:kern w:val="0"/>
                <w:sz w:val="20"/>
                <w:szCs w:val="20"/>
              </w:rPr>
            </w:pPr>
            <w:r>
              <w:rPr>
                <w:rFonts w:ascii="仿宋_GB2312" w:hAnsi="宋体" w:cs="宋体"/>
                <w:kern w:val="0"/>
                <w:sz w:val="20"/>
                <w:szCs w:val="20"/>
              </w:rPr>
              <w:t>39</w:t>
            </w:r>
          </w:p>
        </w:tc>
        <w:tc>
          <w:tcPr>
            <w:tcW w:w="993"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color w:val="000000"/>
                <w:kern w:val="0"/>
                <w:sz w:val="20"/>
                <w:szCs w:val="20"/>
              </w:rPr>
            </w:pPr>
            <w:r>
              <w:rPr>
                <w:rFonts w:ascii="仿宋_GB2312" w:hAnsi="宋体" w:cs="宋体"/>
                <w:color w:val="000000"/>
                <w:kern w:val="0"/>
                <w:sz w:val="20"/>
                <w:szCs w:val="20"/>
              </w:rPr>
              <w:t>1927</w:t>
            </w:r>
          </w:p>
        </w:tc>
      </w:tr>
      <w:tr>
        <w:tblPrEx>
          <w:tblCellMar>
            <w:top w:w="0" w:type="dxa"/>
            <w:left w:w="108" w:type="dxa"/>
            <w:bottom w:w="0" w:type="dxa"/>
            <w:right w:w="108" w:type="dxa"/>
          </w:tblCellMar>
        </w:tblPrEx>
        <w:trPr>
          <w:trHeight w:val="447"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区域站改造（增加气压传感器）</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5</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color w:val="000000"/>
                <w:kern w:val="0"/>
                <w:sz w:val="20"/>
                <w:szCs w:val="20"/>
              </w:rPr>
            </w:pPr>
            <w:r>
              <w:rPr>
                <w:rFonts w:hint="eastAsia" w:ascii="仿宋_GB2312" w:hAnsi="宋体" w:cs="宋体"/>
                <w:color w:val="000000"/>
                <w:kern w:val="0"/>
                <w:sz w:val="20"/>
                <w:szCs w:val="20"/>
              </w:rPr>
              <w:t>8</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447"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区域站改造（增加湿度传感器）</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color w:val="000000"/>
                <w:kern w:val="0"/>
                <w:sz w:val="20"/>
                <w:szCs w:val="20"/>
              </w:rPr>
            </w:pPr>
            <w:r>
              <w:rPr>
                <w:rFonts w:hint="eastAsia" w:ascii="仿宋_GB2312" w:hAnsi="宋体" w:cs="宋体"/>
                <w:color w:val="000000"/>
                <w:kern w:val="0"/>
                <w:sz w:val="20"/>
                <w:szCs w:val="20"/>
              </w:rPr>
              <w:t>1</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447"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区域站改造（骨干站北斗通信模块改造）</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2</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color w:val="000000"/>
                <w:kern w:val="0"/>
                <w:sz w:val="20"/>
                <w:szCs w:val="20"/>
              </w:rPr>
            </w:pPr>
            <w:r>
              <w:rPr>
                <w:rFonts w:hint="eastAsia" w:ascii="仿宋_GB2312" w:hAnsi="宋体" w:cs="宋体"/>
                <w:color w:val="000000"/>
                <w:kern w:val="0"/>
                <w:sz w:val="20"/>
                <w:szCs w:val="20"/>
              </w:rPr>
              <w:t>8</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447"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区域站改造（数据采集器升级）</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ascii="仿宋_GB2312" w:hAnsi="宋体" w:cs="宋体"/>
                <w:kern w:val="0"/>
                <w:sz w:val="20"/>
                <w:szCs w:val="20"/>
              </w:rPr>
              <w:t>35</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kern w:val="0"/>
                <w:sz w:val="20"/>
                <w:szCs w:val="20"/>
              </w:rPr>
            </w:pPr>
            <w:r>
              <w:rPr>
                <w:rFonts w:ascii="仿宋_GB2312" w:hAnsi="宋体" w:cs="宋体"/>
                <w:kern w:val="0"/>
                <w:sz w:val="20"/>
                <w:szCs w:val="20"/>
              </w:rPr>
              <w:t>80</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447"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观测站网加密，新增区域站</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ascii="仿宋_GB2312" w:hAnsi="宋体" w:cs="宋体"/>
                <w:kern w:val="0"/>
                <w:sz w:val="20"/>
                <w:szCs w:val="20"/>
              </w:rPr>
              <w:t>14</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150</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447"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新建六要素便携式自动气象站</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kern w:val="0"/>
                <w:sz w:val="20"/>
                <w:szCs w:val="20"/>
              </w:rPr>
            </w:pPr>
            <w:r>
              <w:rPr>
                <w:rFonts w:ascii="仿宋_GB2312" w:hAnsi="宋体" w:cs="宋体"/>
                <w:kern w:val="0"/>
                <w:sz w:val="20"/>
                <w:szCs w:val="20"/>
              </w:rPr>
              <w:t>10</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447"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新建微波辐射计</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kern w:val="0"/>
                <w:sz w:val="20"/>
                <w:szCs w:val="20"/>
              </w:rPr>
            </w:pPr>
            <w:r>
              <w:rPr>
                <w:rFonts w:ascii="仿宋_GB2312" w:hAnsi="宋体" w:cs="宋体"/>
                <w:kern w:val="0"/>
                <w:sz w:val="20"/>
                <w:szCs w:val="20"/>
              </w:rPr>
              <w:t>130</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447"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新建毫米波云雷达</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kern w:val="0"/>
                <w:sz w:val="20"/>
                <w:szCs w:val="20"/>
              </w:rPr>
            </w:pPr>
            <w:r>
              <w:rPr>
                <w:rFonts w:ascii="仿宋_GB2312" w:hAnsi="宋体" w:cs="宋体"/>
                <w:kern w:val="0"/>
                <w:sz w:val="20"/>
                <w:szCs w:val="20"/>
              </w:rPr>
              <w:t>72</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447"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新建X波段相控阵天气雷达</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kern w:val="0"/>
                <w:sz w:val="20"/>
                <w:szCs w:val="20"/>
              </w:rPr>
            </w:pPr>
            <w:r>
              <w:rPr>
                <w:rFonts w:ascii="仿宋_GB2312" w:hAnsi="宋体" w:cs="宋体"/>
                <w:kern w:val="0"/>
                <w:sz w:val="20"/>
                <w:szCs w:val="20"/>
              </w:rPr>
              <w:t>1223</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447"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新建激光气溶胶雷达</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r>
              <w:rPr>
                <w:rFonts w:ascii="仿宋_GB2312" w:hAnsi="宋体" w:cs="宋体"/>
                <w:kern w:val="0"/>
                <w:sz w:val="20"/>
                <w:szCs w:val="20"/>
              </w:rPr>
              <w:t>34</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447"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新建高速公路站（全要素）</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3</w:t>
            </w:r>
            <w:r>
              <w:rPr>
                <w:rFonts w:ascii="仿宋_GB2312" w:hAnsi="宋体" w:cs="宋体"/>
                <w:kern w:val="0"/>
                <w:sz w:val="20"/>
                <w:szCs w:val="20"/>
              </w:rPr>
              <w:t>0</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447"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新建高速公路站（能见度）</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2</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r>
              <w:rPr>
                <w:rFonts w:ascii="仿宋_GB2312" w:hAnsi="宋体" w:cs="宋体"/>
                <w:kern w:val="0"/>
                <w:sz w:val="20"/>
                <w:szCs w:val="20"/>
              </w:rPr>
              <w:t>4</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447"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新建大气电场仪</w:t>
            </w:r>
            <w:r>
              <w:rPr>
                <w:rFonts w:ascii="仿宋_GB2312" w:cs="Times New Roman"/>
                <w:kern w:val="0"/>
                <w:sz w:val="24"/>
                <w:szCs w:val="24"/>
              </w:rPr>
              <w:t>站</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2</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r>
              <w:rPr>
                <w:rFonts w:ascii="仿宋_GB2312" w:hAnsi="宋体" w:cs="宋体"/>
                <w:kern w:val="0"/>
                <w:sz w:val="20"/>
                <w:szCs w:val="20"/>
              </w:rPr>
              <w:t>2</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447"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新建农田小气候站</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r>
              <w:rPr>
                <w:rFonts w:ascii="仿宋_GB2312" w:hAnsi="宋体" w:cs="宋体"/>
                <w:kern w:val="0"/>
                <w:sz w:val="20"/>
                <w:szCs w:val="20"/>
              </w:rPr>
              <w:t>5</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447"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采购能见度标校仪</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437" w:hRule="atLeast"/>
        </w:trPr>
        <w:tc>
          <w:tcPr>
            <w:tcW w:w="681"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b/>
                <w:bCs/>
                <w:color w:val="000000"/>
                <w:kern w:val="0"/>
                <w:sz w:val="22"/>
              </w:rPr>
            </w:pPr>
            <w:r>
              <w:rPr>
                <w:rFonts w:hint="eastAsia" w:ascii="仿宋_GB2312" w:hAnsi="宋体" w:cs="宋体"/>
                <w:b/>
                <w:bCs/>
                <w:color w:val="000000"/>
                <w:kern w:val="0"/>
                <w:sz w:val="22"/>
              </w:rPr>
              <w:t>二</w:t>
            </w:r>
          </w:p>
        </w:tc>
        <w:tc>
          <w:tcPr>
            <w:tcW w:w="183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440" w:lineRule="exact"/>
              <w:ind w:firstLine="0" w:firstLineChars="0"/>
              <w:jc w:val="center"/>
              <w:rPr>
                <w:rFonts w:ascii="仿宋_GB2312" w:hAnsi="宋体" w:cs="宋体"/>
                <w:b/>
                <w:bCs/>
                <w:color w:val="000000"/>
                <w:kern w:val="0"/>
                <w:sz w:val="22"/>
              </w:rPr>
            </w:pPr>
            <w:r>
              <w:rPr>
                <w:rFonts w:hint="eastAsia" w:ascii="仿宋_GB2312" w:hAnsi="宋体" w:cs="宋体"/>
                <w:b/>
                <w:bCs/>
                <w:color w:val="000000"/>
                <w:kern w:val="0"/>
                <w:sz w:val="22"/>
              </w:rPr>
              <w:t>智慧气象服务能力提升工程</w:t>
            </w: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智慧气象服务支撑系统建设</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kern w:val="0"/>
                <w:sz w:val="20"/>
                <w:szCs w:val="20"/>
              </w:rPr>
            </w:pPr>
            <w:r>
              <w:rPr>
                <w:rFonts w:ascii="仿宋_GB2312" w:hAnsi="宋体" w:cs="宋体"/>
                <w:kern w:val="0"/>
                <w:sz w:val="20"/>
                <w:szCs w:val="20"/>
              </w:rPr>
              <w:t>200</w:t>
            </w:r>
          </w:p>
        </w:tc>
        <w:tc>
          <w:tcPr>
            <w:tcW w:w="993"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color w:val="000000"/>
                <w:kern w:val="0"/>
                <w:sz w:val="20"/>
                <w:szCs w:val="20"/>
              </w:rPr>
            </w:pPr>
            <w:r>
              <w:rPr>
                <w:rFonts w:ascii="仿宋_GB2312" w:hAnsi="宋体" w:cs="宋体"/>
                <w:color w:val="000000"/>
                <w:kern w:val="0"/>
                <w:sz w:val="20"/>
                <w:szCs w:val="20"/>
              </w:rPr>
              <w:t>4</w:t>
            </w:r>
            <w:r>
              <w:rPr>
                <w:rFonts w:hint="eastAsia" w:ascii="仿宋_GB2312" w:hAnsi="宋体" w:cs="宋体"/>
                <w:color w:val="000000"/>
                <w:kern w:val="0"/>
                <w:sz w:val="20"/>
                <w:szCs w:val="20"/>
              </w:rPr>
              <w:t>00</w:t>
            </w:r>
          </w:p>
        </w:tc>
      </w:tr>
      <w:tr>
        <w:tblPrEx>
          <w:tblCellMar>
            <w:top w:w="0" w:type="dxa"/>
            <w:left w:w="108" w:type="dxa"/>
            <w:bottom w:w="0" w:type="dxa"/>
            <w:right w:w="108" w:type="dxa"/>
          </w:tblCellMar>
        </w:tblPrEx>
        <w:trPr>
          <w:trHeight w:val="360"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spacing w:line="440" w:lineRule="exact"/>
              <w:ind w:firstLine="0" w:firstLineChars="0"/>
              <w:jc w:val="center"/>
              <w:rPr>
                <w:rFonts w:ascii="仿宋_GB2312" w:hAnsi="宋体" w:cs="宋体"/>
                <w:b/>
                <w:bCs/>
                <w:color w:val="000000"/>
                <w:kern w:val="0"/>
                <w:sz w:val="22"/>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ascii="仿宋_GB2312" w:cs="Times New Roman"/>
                <w:kern w:val="0"/>
                <w:sz w:val="24"/>
                <w:szCs w:val="24"/>
              </w:rPr>
              <w:t>党建融气象业务与科普宣传展示建设</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2</w:t>
            </w:r>
            <w:r>
              <w:rPr>
                <w:rFonts w:ascii="仿宋_GB2312" w:hAnsi="宋体" w:cs="宋体"/>
                <w:kern w:val="0"/>
                <w:sz w:val="20"/>
                <w:szCs w:val="20"/>
              </w:rPr>
              <w:t>00</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482" w:hRule="atLeast"/>
        </w:trPr>
        <w:tc>
          <w:tcPr>
            <w:tcW w:w="681"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b/>
                <w:bCs/>
                <w:color w:val="000000"/>
                <w:kern w:val="0"/>
                <w:sz w:val="22"/>
              </w:rPr>
            </w:pPr>
            <w:r>
              <w:rPr>
                <w:rFonts w:hint="eastAsia" w:ascii="仿宋_GB2312" w:hAnsi="宋体" w:cs="宋体"/>
                <w:b/>
                <w:bCs/>
                <w:color w:val="000000"/>
                <w:kern w:val="0"/>
                <w:sz w:val="22"/>
              </w:rPr>
              <w:t>三</w:t>
            </w:r>
          </w:p>
        </w:tc>
        <w:tc>
          <w:tcPr>
            <w:tcW w:w="1839"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440" w:lineRule="exact"/>
              <w:ind w:firstLine="0" w:firstLineChars="0"/>
              <w:jc w:val="center"/>
              <w:rPr>
                <w:rFonts w:ascii="仿宋_GB2312" w:hAnsi="宋体" w:cs="宋体"/>
                <w:b/>
                <w:bCs/>
                <w:color w:val="000000"/>
                <w:kern w:val="0"/>
                <w:sz w:val="22"/>
              </w:rPr>
            </w:pPr>
            <w:r>
              <w:rPr>
                <w:rFonts w:hint="eastAsia" w:ascii="仿宋_GB2312" w:hAnsi="宋体" w:cs="宋体"/>
                <w:b/>
                <w:bCs/>
                <w:color w:val="000000"/>
                <w:kern w:val="0"/>
                <w:sz w:val="22"/>
              </w:rPr>
              <w:t>生态气象服务保障能力建设工程</w:t>
            </w: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浙江省生态文明气象保障服务行动计划慈溪区域项目建设</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kern w:val="0"/>
                <w:sz w:val="20"/>
                <w:szCs w:val="20"/>
              </w:rPr>
            </w:pPr>
            <w:r>
              <w:rPr>
                <w:rFonts w:ascii="仿宋_GB2312" w:hAnsi="宋体" w:cs="宋体"/>
                <w:kern w:val="0"/>
                <w:sz w:val="20"/>
                <w:szCs w:val="20"/>
              </w:rPr>
              <w:t>300</w:t>
            </w:r>
          </w:p>
        </w:tc>
        <w:tc>
          <w:tcPr>
            <w:tcW w:w="993" w:type="dxa"/>
            <w:vMerge w:val="restart"/>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color w:val="000000"/>
                <w:kern w:val="0"/>
                <w:sz w:val="20"/>
                <w:szCs w:val="20"/>
              </w:rPr>
            </w:pPr>
            <w:r>
              <w:rPr>
                <w:rFonts w:ascii="仿宋_GB2312" w:hAnsi="宋体" w:cs="宋体"/>
                <w:color w:val="000000"/>
                <w:kern w:val="0"/>
                <w:sz w:val="20"/>
                <w:szCs w:val="20"/>
              </w:rPr>
              <w:t>55</w:t>
            </w:r>
            <w:r>
              <w:rPr>
                <w:rFonts w:hint="eastAsia" w:ascii="仿宋_GB2312" w:hAnsi="宋体" w:cs="宋体"/>
                <w:color w:val="000000"/>
                <w:kern w:val="0"/>
                <w:sz w:val="20"/>
                <w:szCs w:val="20"/>
              </w:rPr>
              <w:t>0</w:t>
            </w:r>
          </w:p>
        </w:tc>
      </w:tr>
      <w:tr>
        <w:tblPrEx>
          <w:tblCellMar>
            <w:top w:w="0" w:type="dxa"/>
            <w:left w:w="108" w:type="dxa"/>
            <w:bottom w:w="0" w:type="dxa"/>
            <w:right w:w="108" w:type="dxa"/>
          </w:tblCellMar>
        </w:tblPrEx>
        <w:trPr>
          <w:trHeight w:val="600" w:hRule="atLeast"/>
        </w:trPr>
        <w:tc>
          <w:tcPr>
            <w:tcW w:w="681"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1839" w:type="dxa"/>
            <w:vMerge w:val="continue"/>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left"/>
              <w:rPr>
                <w:rFonts w:ascii="仿宋_GB2312" w:hAnsi="宋体" w:cs="宋体"/>
                <w:b/>
                <w:bCs/>
                <w:color w:val="000000"/>
                <w:kern w:val="0"/>
                <w:sz w:val="22"/>
              </w:rPr>
            </w:pPr>
          </w:p>
        </w:tc>
        <w:tc>
          <w:tcPr>
            <w:tcW w:w="7426" w:type="dxa"/>
            <w:tcBorders>
              <w:top w:val="nil"/>
              <w:left w:val="nil"/>
              <w:bottom w:val="single" w:color="auto" w:sz="4" w:space="0"/>
              <w:right w:val="single" w:color="auto" w:sz="4" w:space="0"/>
            </w:tcBorders>
            <w:shd w:val="clear" w:color="auto" w:fill="auto"/>
            <w:vAlign w:val="center"/>
          </w:tcPr>
          <w:p>
            <w:pPr>
              <w:widowControl/>
              <w:ind w:firstLine="0" w:firstLineChars="0"/>
              <w:jc w:val="left"/>
              <w:rPr>
                <w:rFonts w:ascii="仿宋_GB2312" w:cs="Times New Roman"/>
                <w:kern w:val="0"/>
                <w:sz w:val="24"/>
                <w:szCs w:val="24"/>
              </w:rPr>
            </w:pPr>
            <w:r>
              <w:rPr>
                <w:rFonts w:hint="eastAsia" w:ascii="仿宋_GB2312" w:cs="Times New Roman"/>
                <w:kern w:val="0"/>
                <w:sz w:val="24"/>
                <w:szCs w:val="24"/>
              </w:rPr>
              <w:t>大气环境气象保障服务与人影能力提升工程建设</w:t>
            </w: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kern w:val="0"/>
                <w:sz w:val="20"/>
                <w:szCs w:val="20"/>
              </w:rPr>
            </w:pPr>
            <w:r>
              <w:rPr>
                <w:rFonts w:hint="eastAsia" w:ascii="仿宋_GB2312" w:hAnsi="宋体" w:cs="宋体"/>
                <w:kern w:val="0"/>
                <w:sz w:val="20"/>
                <w:szCs w:val="20"/>
              </w:rPr>
              <w:t>1</w:t>
            </w:r>
          </w:p>
        </w:tc>
        <w:tc>
          <w:tcPr>
            <w:tcW w:w="992" w:type="dxa"/>
            <w:tcBorders>
              <w:top w:val="nil"/>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color w:val="00B0F0"/>
                <w:kern w:val="0"/>
                <w:sz w:val="20"/>
                <w:szCs w:val="20"/>
              </w:rPr>
            </w:pPr>
            <w:r>
              <w:rPr>
                <w:rFonts w:ascii="仿宋_GB2312" w:hAnsi="宋体" w:cs="宋体"/>
                <w:color w:val="000000"/>
                <w:kern w:val="0"/>
                <w:sz w:val="20"/>
                <w:szCs w:val="20"/>
              </w:rPr>
              <w:t>250</w:t>
            </w:r>
          </w:p>
        </w:tc>
        <w:tc>
          <w:tcPr>
            <w:tcW w:w="993" w:type="dxa"/>
            <w:vMerge w:val="continue"/>
            <w:tcBorders>
              <w:top w:val="nil"/>
              <w:left w:val="single" w:color="auto" w:sz="4" w:space="0"/>
              <w:bottom w:val="single" w:color="auto" w:sz="4" w:space="0"/>
              <w:right w:val="single" w:color="auto" w:sz="4" w:space="0"/>
            </w:tcBorders>
            <w:vAlign w:val="center"/>
          </w:tcPr>
          <w:p>
            <w:pPr>
              <w:widowControl/>
              <w:ind w:firstLine="0" w:firstLineChars="0"/>
              <w:jc w:val="left"/>
              <w:rPr>
                <w:rFonts w:ascii="仿宋_GB2312" w:hAnsi="宋体" w:cs="宋体"/>
                <w:color w:val="000000"/>
                <w:kern w:val="0"/>
                <w:sz w:val="20"/>
                <w:szCs w:val="20"/>
              </w:rPr>
            </w:pPr>
          </w:p>
        </w:tc>
      </w:tr>
      <w:tr>
        <w:tblPrEx>
          <w:tblCellMar>
            <w:top w:w="0" w:type="dxa"/>
            <w:left w:w="108" w:type="dxa"/>
            <w:bottom w:w="0" w:type="dxa"/>
            <w:right w:w="108" w:type="dxa"/>
          </w:tblCellMar>
        </w:tblPrEx>
        <w:trPr>
          <w:trHeight w:val="505" w:hRule="atLeast"/>
        </w:trPr>
        <w:tc>
          <w:tcPr>
            <w:tcW w:w="6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color w:val="000000"/>
                <w:kern w:val="0"/>
                <w:sz w:val="22"/>
              </w:rPr>
            </w:pPr>
            <w:r>
              <w:rPr>
                <w:rFonts w:hint="eastAsia" w:ascii="仿宋_GB2312" w:hAnsi="宋体" w:cs="宋体"/>
                <w:color w:val="000000"/>
                <w:kern w:val="0"/>
                <w:sz w:val="22"/>
              </w:rPr>
              <w:t>合计</w:t>
            </w:r>
          </w:p>
        </w:tc>
        <w:tc>
          <w:tcPr>
            <w:tcW w:w="183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color w:val="000000"/>
                <w:kern w:val="0"/>
                <w:sz w:val="22"/>
              </w:rPr>
            </w:pPr>
            <w:r>
              <w:rPr>
                <w:rFonts w:hint="eastAsia" w:ascii="仿宋_GB2312" w:hAnsi="宋体" w:cs="宋体"/>
                <w:color w:val="000000"/>
                <w:kern w:val="0"/>
                <w:sz w:val="22"/>
              </w:rPr>
              <w:t>/</w:t>
            </w:r>
          </w:p>
        </w:tc>
        <w:tc>
          <w:tcPr>
            <w:tcW w:w="74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color w:val="000000"/>
                <w:kern w:val="0"/>
                <w:sz w:val="22"/>
              </w:rPr>
            </w:pPr>
          </w:p>
        </w:tc>
        <w:tc>
          <w:tcPr>
            <w:tcW w:w="968" w:type="dxa"/>
            <w:tcBorders>
              <w:top w:val="single" w:color="auto" w:sz="4" w:space="0"/>
              <w:left w:val="nil"/>
              <w:bottom w:val="single" w:color="auto" w:sz="4" w:space="0"/>
              <w:right w:val="single" w:color="auto" w:sz="4" w:space="0"/>
            </w:tcBorders>
          </w:tcPr>
          <w:p>
            <w:pPr>
              <w:widowControl/>
              <w:ind w:firstLine="0" w:firstLineChars="0"/>
              <w:jc w:val="center"/>
              <w:rPr>
                <w:rFonts w:ascii="仿宋_GB2312" w:hAnsi="宋体" w:cs="宋体"/>
                <w:b/>
                <w:color w:val="000000"/>
                <w:kern w:val="0"/>
                <w:sz w:val="22"/>
              </w:rPr>
            </w:pPr>
          </w:p>
        </w:tc>
        <w:tc>
          <w:tcPr>
            <w:tcW w:w="198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ind w:firstLine="0" w:firstLineChars="0"/>
              <w:jc w:val="center"/>
              <w:rPr>
                <w:rFonts w:ascii="仿宋_GB2312" w:hAnsi="宋体" w:cs="宋体"/>
                <w:b/>
                <w:color w:val="000000"/>
                <w:kern w:val="0"/>
                <w:sz w:val="22"/>
              </w:rPr>
            </w:pPr>
            <w:r>
              <w:rPr>
                <w:rFonts w:ascii="仿宋_GB2312" w:hAnsi="宋体" w:cs="宋体"/>
                <w:b/>
                <w:color w:val="000000"/>
                <w:kern w:val="0"/>
                <w:sz w:val="22"/>
              </w:rPr>
              <w:t>2877</w:t>
            </w:r>
          </w:p>
        </w:tc>
      </w:tr>
    </w:tbl>
    <w:p>
      <w:pPr>
        <w:ind w:firstLine="0" w:firstLineChars="0"/>
        <w:rPr>
          <w:rFonts w:ascii="仿宋_GB2312" w:cs="Times New Roman"/>
          <w:sz w:val="21"/>
          <w:szCs w:val="24"/>
        </w:rPr>
      </w:pPr>
    </w:p>
    <w:p>
      <w:pPr>
        <w:ind w:firstLine="600"/>
        <w:rPr>
          <w:rFonts w:ascii="仿宋_GB2312"/>
        </w:rPr>
      </w:pPr>
    </w:p>
    <w:p>
      <w:pPr>
        <w:ind w:firstLine="0" w:firstLineChars="0"/>
        <w:rPr>
          <w:rFonts w:ascii="仿宋_GB2312" w:cs="Times New Roman"/>
          <w:sz w:val="21"/>
          <w:szCs w:val="24"/>
        </w:rPr>
      </w:pPr>
    </w:p>
    <w:p>
      <w:pPr>
        <w:ind w:firstLine="0" w:firstLineChars="0"/>
        <w:rPr>
          <w:rFonts w:ascii="仿宋_GB2312"/>
        </w:rPr>
      </w:pPr>
    </w:p>
    <w:p>
      <w:pPr>
        <w:ind w:firstLine="0" w:firstLineChars="0"/>
        <w:rPr>
          <w:rFonts w:ascii="仿宋_GB2312" w:cs="Times New Roman"/>
          <w:color w:val="000000" w:themeColor="text1"/>
          <w14:textFill>
            <w14:solidFill>
              <w14:schemeClr w14:val="tx1"/>
            </w14:solidFill>
          </w14:textFill>
        </w:rPr>
      </w:pPr>
    </w:p>
    <w:sectPr>
      <w:pgSz w:w="16838" w:h="11906" w:orient="landscape"/>
      <w:pgMar w:top="1134" w:right="1080" w:bottom="1134" w:left="1080" w:header="851" w:footer="992" w:gutter="0"/>
      <w:cols w:space="425" w:num="1"/>
      <w:docGrid w:type="lines" w:linePitch="408"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00"/>
      </w:pPr>
      <w:r>
        <w:separator/>
      </w:r>
    </w:p>
  </w:endnote>
  <w:endnote w:type="continuationSeparator" w:id="1">
    <w:p>
      <w:pPr>
        <w:ind w:firstLine="60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ind w:firstLine="360"/>
      <w:rPr>
        <w:rStyle w:val="19"/>
      </w:rPr>
    </w:pPr>
    <w:r>
      <w:fldChar w:fldCharType="begin"/>
    </w:r>
    <w:r>
      <w:rPr>
        <w:rStyle w:val="19"/>
      </w:rPr>
      <w:instrText xml:space="preserve">PAGE  </w:instrText>
    </w:r>
    <w:r>
      <w:fldChar w:fldCharType="separate"/>
    </w:r>
    <w:r>
      <w:rPr>
        <w:rStyle w:val="19"/>
      </w:rPr>
      <w:t>23</w:t>
    </w:r>
    <w:r>
      <w:fldChar w:fldCharType="end"/>
    </w:r>
  </w:p>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00"/>
      </w:pPr>
      <w:r>
        <w:separator/>
      </w:r>
    </w:p>
  </w:footnote>
  <w:footnote w:type="continuationSeparator" w:id="1">
    <w:p>
      <w:pPr>
        <w:ind w:firstLine="60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50"/>
  <w:drawingGridVerticalSpacing w:val="204"/>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0OGMxZjM0YzY3Y2Y2N2NiODBkZTBhMWEwYTE5ODAifQ=="/>
  </w:docVars>
  <w:rsids>
    <w:rsidRoot w:val="008D4650"/>
    <w:rsid w:val="0000281F"/>
    <w:rsid w:val="00004299"/>
    <w:rsid w:val="000062D8"/>
    <w:rsid w:val="000066A1"/>
    <w:rsid w:val="000078A2"/>
    <w:rsid w:val="0001183E"/>
    <w:rsid w:val="00016F6E"/>
    <w:rsid w:val="00022E1B"/>
    <w:rsid w:val="000238C0"/>
    <w:rsid w:val="000248FC"/>
    <w:rsid w:val="0002577F"/>
    <w:rsid w:val="00027930"/>
    <w:rsid w:val="000302AE"/>
    <w:rsid w:val="0003041D"/>
    <w:rsid w:val="00030DB6"/>
    <w:rsid w:val="00031C50"/>
    <w:rsid w:val="0003375C"/>
    <w:rsid w:val="000344C3"/>
    <w:rsid w:val="00034A85"/>
    <w:rsid w:val="000409DC"/>
    <w:rsid w:val="00042373"/>
    <w:rsid w:val="0004496F"/>
    <w:rsid w:val="00051778"/>
    <w:rsid w:val="00052F31"/>
    <w:rsid w:val="00053D79"/>
    <w:rsid w:val="00056FE9"/>
    <w:rsid w:val="00057E2B"/>
    <w:rsid w:val="0006131C"/>
    <w:rsid w:val="000634F3"/>
    <w:rsid w:val="00066AB3"/>
    <w:rsid w:val="00067F6B"/>
    <w:rsid w:val="000715B2"/>
    <w:rsid w:val="00071C04"/>
    <w:rsid w:val="00075151"/>
    <w:rsid w:val="00075547"/>
    <w:rsid w:val="00075E5B"/>
    <w:rsid w:val="00076079"/>
    <w:rsid w:val="00076564"/>
    <w:rsid w:val="000833D5"/>
    <w:rsid w:val="0008460B"/>
    <w:rsid w:val="00085ECC"/>
    <w:rsid w:val="0008767A"/>
    <w:rsid w:val="00090615"/>
    <w:rsid w:val="00092B8A"/>
    <w:rsid w:val="000A1DA8"/>
    <w:rsid w:val="000A2767"/>
    <w:rsid w:val="000A773D"/>
    <w:rsid w:val="000B11D8"/>
    <w:rsid w:val="000B2013"/>
    <w:rsid w:val="000B4BF6"/>
    <w:rsid w:val="000B7E56"/>
    <w:rsid w:val="000C12F5"/>
    <w:rsid w:val="000C1791"/>
    <w:rsid w:val="000C20B5"/>
    <w:rsid w:val="000C62FA"/>
    <w:rsid w:val="000D5DAE"/>
    <w:rsid w:val="000D6D50"/>
    <w:rsid w:val="000E3AAF"/>
    <w:rsid w:val="000E5A5E"/>
    <w:rsid w:val="000E7963"/>
    <w:rsid w:val="000E7B46"/>
    <w:rsid w:val="000F1B19"/>
    <w:rsid w:val="000F1C98"/>
    <w:rsid w:val="001017D5"/>
    <w:rsid w:val="00105129"/>
    <w:rsid w:val="00105CBB"/>
    <w:rsid w:val="00110DC8"/>
    <w:rsid w:val="001114FF"/>
    <w:rsid w:val="0011598B"/>
    <w:rsid w:val="00117276"/>
    <w:rsid w:val="00124D28"/>
    <w:rsid w:val="00125E1D"/>
    <w:rsid w:val="001272E7"/>
    <w:rsid w:val="00130EAD"/>
    <w:rsid w:val="001331D4"/>
    <w:rsid w:val="001354B1"/>
    <w:rsid w:val="00137DE0"/>
    <w:rsid w:val="00143A31"/>
    <w:rsid w:val="00146270"/>
    <w:rsid w:val="00147F0F"/>
    <w:rsid w:val="0015052C"/>
    <w:rsid w:val="00153127"/>
    <w:rsid w:val="001540D5"/>
    <w:rsid w:val="0016068D"/>
    <w:rsid w:val="001615D2"/>
    <w:rsid w:val="0016315F"/>
    <w:rsid w:val="00170231"/>
    <w:rsid w:val="00170FB0"/>
    <w:rsid w:val="00175458"/>
    <w:rsid w:val="00177996"/>
    <w:rsid w:val="001805B7"/>
    <w:rsid w:val="00182B9E"/>
    <w:rsid w:val="0018578A"/>
    <w:rsid w:val="00185D5A"/>
    <w:rsid w:val="00187553"/>
    <w:rsid w:val="001877CF"/>
    <w:rsid w:val="00187F37"/>
    <w:rsid w:val="00187FBB"/>
    <w:rsid w:val="00197DEA"/>
    <w:rsid w:val="001A08CB"/>
    <w:rsid w:val="001A184B"/>
    <w:rsid w:val="001A52D2"/>
    <w:rsid w:val="001B12F1"/>
    <w:rsid w:val="001B1335"/>
    <w:rsid w:val="001B3942"/>
    <w:rsid w:val="001B64A0"/>
    <w:rsid w:val="001C13C0"/>
    <w:rsid w:val="001C45E8"/>
    <w:rsid w:val="001C7721"/>
    <w:rsid w:val="001D6834"/>
    <w:rsid w:val="001E2C2E"/>
    <w:rsid w:val="001E2FDF"/>
    <w:rsid w:val="001E3170"/>
    <w:rsid w:val="001E604A"/>
    <w:rsid w:val="001E6B95"/>
    <w:rsid w:val="001E74E2"/>
    <w:rsid w:val="001F0D30"/>
    <w:rsid w:val="001F23D4"/>
    <w:rsid w:val="00204D71"/>
    <w:rsid w:val="00205B7D"/>
    <w:rsid w:val="00205CF0"/>
    <w:rsid w:val="00207F09"/>
    <w:rsid w:val="002134FD"/>
    <w:rsid w:val="00214250"/>
    <w:rsid w:val="00216386"/>
    <w:rsid w:val="002165CC"/>
    <w:rsid w:val="00216661"/>
    <w:rsid w:val="00216D8B"/>
    <w:rsid w:val="002179AC"/>
    <w:rsid w:val="00220E66"/>
    <w:rsid w:val="00222637"/>
    <w:rsid w:val="00224FF4"/>
    <w:rsid w:val="00230F77"/>
    <w:rsid w:val="00231880"/>
    <w:rsid w:val="00233681"/>
    <w:rsid w:val="00234248"/>
    <w:rsid w:val="00237CD9"/>
    <w:rsid w:val="00244083"/>
    <w:rsid w:val="00244604"/>
    <w:rsid w:val="00246928"/>
    <w:rsid w:val="00247751"/>
    <w:rsid w:val="002507BB"/>
    <w:rsid w:val="00260EC0"/>
    <w:rsid w:val="00261A65"/>
    <w:rsid w:val="0026341D"/>
    <w:rsid w:val="00266BB0"/>
    <w:rsid w:val="0027059B"/>
    <w:rsid w:val="00273F5E"/>
    <w:rsid w:val="00276CF9"/>
    <w:rsid w:val="00280857"/>
    <w:rsid w:val="00280C04"/>
    <w:rsid w:val="00280FF9"/>
    <w:rsid w:val="002832D8"/>
    <w:rsid w:val="00284330"/>
    <w:rsid w:val="002917CF"/>
    <w:rsid w:val="00294475"/>
    <w:rsid w:val="002A2847"/>
    <w:rsid w:val="002A3005"/>
    <w:rsid w:val="002A6127"/>
    <w:rsid w:val="002A6321"/>
    <w:rsid w:val="002A70FE"/>
    <w:rsid w:val="002B34C2"/>
    <w:rsid w:val="002B5A7E"/>
    <w:rsid w:val="002C387E"/>
    <w:rsid w:val="002C421C"/>
    <w:rsid w:val="002C61B8"/>
    <w:rsid w:val="002C717C"/>
    <w:rsid w:val="002C7BB9"/>
    <w:rsid w:val="002D3D45"/>
    <w:rsid w:val="002D58D4"/>
    <w:rsid w:val="002D7D5D"/>
    <w:rsid w:val="002E00C5"/>
    <w:rsid w:val="002E0EB4"/>
    <w:rsid w:val="002E399A"/>
    <w:rsid w:val="002E7DEA"/>
    <w:rsid w:val="00300D99"/>
    <w:rsid w:val="00301845"/>
    <w:rsid w:val="00303AF8"/>
    <w:rsid w:val="00307923"/>
    <w:rsid w:val="003109E7"/>
    <w:rsid w:val="0031272C"/>
    <w:rsid w:val="003152F2"/>
    <w:rsid w:val="00316FA3"/>
    <w:rsid w:val="0031769E"/>
    <w:rsid w:val="003216FC"/>
    <w:rsid w:val="003233FA"/>
    <w:rsid w:val="00323749"/>
    <w:rsid w:val="00325339"/>
    <w:rsid w:val="003267E9"/>
    <w:rsid w:val="00326C5E"/>
    <w:rsid w:val="00333A6D"/>
    <w:rsid w:val="0034350B"/>
    <w:rsid w:val="00344F5A"/>
    <w:rsid w:val="003478C0"/>
    <w:rsid w:val="00350DC4"/>
    <w:rsid w:val="00352E93"/>
    <w:rsid w:val="00355CD1"/>
    <w:rsid w:val="0036012B"/>
    <w:rsid w:val="00360A17"/>
    <w:rsid w:val="00360B67"/>
    <w:rsid w:val="00363276"/>
    <w:rsid w:val="0036480D"/>
    <w:rsid w:val="0036594E"/>
    <w:rsid w:val="00365AB7"/>
    <w:rsid w:val="00367023"/>
    <w:rsid w:val="00370178"/>
    <w:rsid w:val="00370647"/>
    <w:rsid w:val="003715ED"/>
    <w:rsid w:val="00371F2C"/>
    <w:rsid w:val="003743BF"/>
    <w:rsid w:val="0038251A"/>
    <w:rsid w:val="00383B1F"/>
    <w:rsid w:val="0038525E"/>
    <w:rsid w:val="003854BD"/>
    <w:rsid w:val="0038669C"/>
    <w:rsid w:val="003868FC"/>
    <w:rsid w:val="0038750B"/>
    <w:rsid w:val="003906D8"/>
    <w:rsid w:val="003946A8"/>
    <w:rsid w:val="00394C0A"/>
    <w:rsid w:val="00394DE3"/>
    <w:rsid w:val="003A02BB"/>
    <w:rsid w:val="003A34F6"/>
    <w:rsid w:val="003A3EF7"/>
    <w:rsid w:val="003A6070"/>
    <w:rsid w:val="003A69F7"/>
    <w:rsid w:val="003A78FF"/>
    <w:rsid w:val="003B45C9"/>
    <w:rsid w:val="003B484D"/>
    <w:rsid w:val="003B5C5C"/>
    <w:rsid w:val="003C2DE2"/>
    <w:rsid w:val="003C2ECC"/>
    <w:rsid w:val="003C3190"/>
    <w:rsid w:val="003C5440"/>
    <w:rsid w:val="003D02F4"/>
    <w:rsid w:val="003D0F30"/>
    <w:rsid w:val="003D3428"/>
    <w:rsid w:val="003D7028"/>
    <w:rsid w:val="003E31D0"/>
    <w:rsid w:val="003E55A0"/>
    <w:rsid w:val="003E5B87"/>
    <w:rsid w:val="003E6EE0"/>
    <w:rsid w:val="003F197D"/>
    <w:rsid w:val="003F24B5"/>
    <w:rsid w:val="003F284B"/>
    <w:rsid w:val="003F5E35"/>
    <w:rsid w:val="003F60A2"/>
    <w:rsid w:val="003F619C"/>
    <w:rsid w:val="003F68EE"/>
    <w:rsid w:val="0040122C"/>
    <w:rsid w:val="004035F1"/>
    <w:rsid w:val="00413209"/>
    <w:rsid w:val="00414AD8"/>
    <w:rsid w:val="00417562"/>
    <w:rsid w:val="00417ADD"/>
    <w:rsid w:val="00422EA8"/>
    <w:rsid w:val="004230CB"/>
    <w:rsid w:val="00426F83"/>
    <w:rsid w:val="00426FE3"/>
    <w:rsid w:val="004308C5"/>
    <w:rsid w:val="00432AA2"/>
    <w:rsid w:val="004350F6"/>
    <w:rsid w:val="004354B4"/>
    <w:rsid w:val="004370EB"/>
    <w:rsid w:val="00441023"/>
    <w:rsid w:val="00441A7F"/>
    <w:rsid w:val="00442B24"/>
    <w:rsid w:val="004437C9"/>
    <w:rsid w:val="00447020"/>
    <w:rsid w:val="004513AD"/>
    <w:rsid w:val="00453A77"/>
    <w:rsid w:val="0045539A"/>
    <w:rsid w:val="00457D8A"/>
    <w:rsid w:val="004607FF"/>
    <w:rsid w:val="0046355C"/>
    <w:rsid w:val="004644D3"/>
    <w:rsid w:val="00464F6A"/>
    <w:rsid w:val="004650BC"/>
    <w:rsid w:val="004715E7"/>
    <w:rsid w:val="00473832"/>
    <w:rsid w:val="004756F7"/>
    <w:rsid w:val="00482175"/>
    <w:rsid w:val="00487A90"/>
    <w:rsid w:val="00493E4B"/>
    <w:rsid w:val="0049402B"/>
    <w:rsid w:val="004A0C84"/>
    <w:rsid w:val="004A0CC5"/>
    <w:rsid w:val="004A3564"/>
    <w:rsid w:val="004B2418"/>
    <w:rsid w:val="004B45DB"/>
    <w:rsid w:val="004B562E"/>
    <w:rsid w:val="004B5876"/>
    <w:rsid w:val="004B6B5C"/>
    <w:rsid w:val="004C054A"/>
    <w:rsid w:val="004C0AAE"/>
    <w:rsid w:val="004C147D"/>
    <w:rsid w:val="004C2084"/>
    <w:rsid w:val="004C2C4A"/>
    <w:rsid w:val="004C6479"/>
    <w:rsid w:val="004D051C"/>
    <w:rsid w:val="004D2FAA"/>
    <w:rsid w:val="004D39FC"/>
    <w:rsid w:val="004E0544"/>
    <w:rsid w:val="004E08A7"/>
    <w:rsid w:val="004E115A"/>
    <w:rsid w:val="004E48C7"/>
    <w:rsid w:val="004E5D7F"/>
    <w:rsid w:val="004E664E"/>
    <w:rsid w:val="004E7761"/>
    <w:rsid w:val="004F1D90"/>
    <w:rsid w:val="004F27BE"/>
    <w:rsid w:val="004F3A55"/>
    <w:rsid w:val="004F4AF5"/>
    <w:rsid w:val="004F545A"/>
    <w:rsid w:val="004F7F06"/>
    <w:rsid w:val="005011FB"/>
    <w:rsid w:val="00502FE2"/>
    <w:rsid w:val="005035C6"/>
    <w:rsid w:val="00504A28"/>
    <w:rsid w:val="00505057"/>
    <w:rsid w:val="00507B6B"/>
    <w:rsid w:val="0051102A"/>
    <w:rsid w:val="00514C30"/>
    <w:rsid w:val="00514F7E"/>
    <w:rsid w:val="00515815"/>
    <w:rsid w:val="00521D86"/>
    <w:rsid w:val="00523929"/>
    <w:rsid w:val="0052439A"/>
    <w:rsid w:val="005249D0"/>
    <w:rsid w:val="0052576C"/>
    <w:rsid w:val="00526FC6"/>
    <w:rsid w:val="00527249"/>
    <w:rsid w:val="00530310"/>
    <w:rsid w:val="005350D7"/>
    <w:rsid w:val="00535147"/>
    <w:rsid w:val="00536EE5"/>
    <w:rsid w:val="00540ED9"/>
    <w:rsid w:val="00543E04"/>
    <w:rsid w:val="005440BD"/>
    <w:rsid w:val="005452C4"/>
    <w:rsid w:val="00545E83"/>
    <w:rsid w:val="00547120"/>
    <w:rsid w:val="00554B6A"/>
    <w:rsid w:val="00556C23"/>
    <w:rsid w:val="0056105A"/>
    <w:rsid w:val="00567F02"/>
    <w:rsid w:val="005725EC"/>
    <w:rsid w:val="005739B3"/>
    <w:rsid w:val="0057663F"/>
    <w:rsid w:val="00583FFF"/>
    <w:rsid w:val="005850B3"/>
    <w:rsid w:val="0058781E"/>
    <w:rsid w:val="00587B11"/>
    <w:rsid w:val="00595DE7"/>
    <w:rsid w:val="005977CC"/>
    <w:rsid w:val="005A3C89"/>
    <w:rsid w:val="005B105D"/>
    <w:rsid w:val="005B189C"/>
    <w:rsid w:val="005B3182"/>
    <w:rsid w:val="005B4C58"/>
    <w:rsid w:val="005B5728"/>
    <w:rsid w:val="005B5E5A"/>
    <w:rsid w:val="005B6E75"/>
    <w:rsid w:val="005B76ED"/>
    <w:rsid w:val="005C0697"/>
    <w:rsid w:val="005C7848"/>
    <w:rsid w:val="005C7971"/>
    <w:rsid w:val="005D337D"/>
    <w:rsid w:val="005E1299"/>
    <w:rsid w:val="005E15D4"/>
    <w:rsid w:val="005E240B"/>
    <w:rsid w:val="005E2B23"/>
    <w:rsid w:val="005E38A8"/>
    <w:rsid w:val="005E6DD1"/>
    <w:rsid w:val="005F1125"/>
    <w:rsid w:val="005F1E1F"/>
    <w:rsid w:val="005F41EA"/>
    <w:rsid w:val="005F4B72"/>
    <w:rsid w:val="005F4EF1"/>
    <w:rsid w:val="005F5D5B"/>
    <w:rsid w:val="005F739E"/>
    <w:rsid w:val="0060029F"/>
    <w:rsid w:val="006002F0"/>
    <w:rsid w:val="00601BC1"/>
    <w:rsid w:val="00601F6A"/>
    <w:rsid w:val="00602B7C"/>
    <w:rsid w:val="00605FAD"/>
    <w:rsid w:val="00611DC0"/>
    <w:rsid w:val="00611E63"/>
    <w:rsid w:val="00616039"/>
    <w:rsid w:val="00616AD3"/>
    <w:rsid w:val="00616E0D"/>
    <w:rsid w:val="00616FA4"/>
    <w:rsid w:val="006218EF"/>
    <w:rsid w:val="006220D2"/>
    <w:rsid w:val="00630D9E"/>
    <w:rsid w:val="00631876"/>
    <w:rsid w:val="00633C80"/>
    <w:rsid w:val="0063713B"/>
    <w:rsid w:val="00640792"/>
    <w:rsid w:val="0064192E"/>
    <w:rsid w:val="00643077"/>
    <w:rsid w:val="00645CE7"/>
    <w:rsid w:val="00650171"/>
    <w:rsid w:val="00653C08"/>
    <w:rsid w:val="00654A57"/>
    <w:rsid w:val="00655D62"/>
    <w:rsid w:val="00657FDF"/>
    <w:rsid w:val="00664294"/>
    <w:rsid w:val="00664EC2"/>
    <w:rsid w:val="00667E96"/>
    <w:rsid w:val="00672379"/>
    <w:rsid w:val="00672829"/>
    <w:rsid w:val="00672D3D"/>
    <w:rsid w:val="00673304"/>
    <w:rsid w:val="0067524A"/>
    <w:rsid w:val="00676B9C"/>
    <w:rsid w:val="00683F32"/>
    <w:rsid w:val="006866C6"/>
    <w:rsid w:val="00686987"/>
    <w:rsid w:val="00695CDE"/>
    <w:rsid w:val="006A546F"/>
    <w:rsid w:val="006A72A0"/>
    <w:rsid w:val="006A7D4F"/>
    <w:rsid w:val="006B02F7"/>
    <w:rsid w:val="006B3E32"/>
    <w:rsid w:val="006B4CF5"/>
    <w:rsid w:val="006B7CEA"/>
    <w:rsid w:val="006C254B"/>
    <w:rsid w:val="006C323E"/>
    <w:rsid w:val="006C5597"/>
    <w:rsid w:val="006D07B3"/>
    <w:rsid w:val="006D1372"/>
    <w:rsid w:val="006D303A"/>
    <w:rsid w:val="006D313B"/>
    <w:rsid w:val="006D3B0C"/>
    <w:rsid w:val="006D5BBF"/>
    <w:rsid w:val="006D66C6"/>
    <w:rsid w:val="006D6DA1"/>
    <w:rsid w:val="006E2FE2"/>
    <w:rsid w:val="006E3B64"/>
    <w:rsid w:val="006E444B"/>
    <w:rsid w:val="006E543E"/>
    <w:rsid w:val="006E6ED2"/>
    <w:rsid w:val="006F2FC5"/>
    <w:rsid w:val="006F728C"/>
    <w:rsid w:val="0070239D"/>
    <w:rsid w:val="00702930"/>
    <w:rsid w:val="00703FD3"/>
    <w:rsid w:val="007056E5"/>
    <w:rsid w:val="007059CD"/>
    <w:rsid w:val="00706024"/>
    <w:rsid w:val="00707B97"/>
    <w:rsid w:val="0071116D"/>
    <w:rsid w:val="0071143B"/>
    <w:rsid w:val="00720B98"/>
    <w:rsid w:val="0072326F"/>
    <w:rsid w:val="00723A1C"/>
    <w:rsid w:val="00726181"/>
    <w:rsid w:val="007263C0"/>
    <w:rsid w:val="007325F8"/>
    <w:rsid w:val="00744FB7"/>
    <w:rsid w:val="00753B74"/>
    <w:rsid w:val="00761C84"/>
    <w:rsid w:val="00762650"/>
    <w:rsid w:val="007626E2"/>
    <w:rsid w:val="00762B50"/>
    <w:rsid w:val="0076421B"/>
    <w:rsid w:val="00767563"/>
    <w:rsid w:val="00774FA2"/>
    <w:rsid w:val="007772C5"/>
    <w:rsid w:val="0078294F"/>
    <w:rsid w:val="00785081"/>
    <w:rsid w:val="007856C8"/>
    <w:rsid w:val="00785AA5"/>
    <w:rsid w:val="00791AFC"/>
    <w:rsid w:val="007935B4"/>
    <w:rsid w:val="007936F0"/>
    <w:rsid w:val="00793C87"/>
    <w:rsid w:val="007A3DD7"/>
    <w:rsid w:val="007A6594"/>
    <w:rsid w:val="007B1B4E"/>
    <w:rsid w:val="007B5939"/>
    <w:rsid w:val="007B5A37"/>
    <w:rsid w:val="007B7926"/>
    <w:rsid w:val="007D26E5"/>
    <w:rsid w:val="007D34D2"/>
    <w:rsid w:val="007D5631"/>
    <w:rsid w:val="007E1370"/>
    <w:rsid w:val="007E146B"/>
    <w:rsid w:val="007E7AFD"/>
    <w:rsid w:val="007F0FD3"/>
    <w:rsid w:val="007F32E6"/>
    <w:rsid w:val="007F348B"/>
    <w:rsid w:val="00800C6B"/>
    <w:rsid w:val="00801869"/>
    <w:rsid w:val="0080204E"/>
    <w:rsid w:val="00804A55"/>
    <w:rsid w:val="00804CB8"/>
    <w:rsid w:val="00805245"/>
    <w:rsid w:val="0080559B"/>
    <w:rsid w:val="0081124B"/>
    <w:rsid w:val="00811903"/>
    <w:rsid w:val="008123FD"/>
    <w:rsid w:val="0081549A"/>
    <w:rsid w:val="00817428"/>
    <w:rsid w:val="0082163C"/>
    <w:rsid w:val="00823734"/>
    <w:rsid w:val="00823923"/>
    <w:rsid w:val="00826721"/>
    <w:rsid w:val="00832C82"/>
    <w:rsid w:val="00832DCC"/>
    <w:rsid w:val="0083579E"/>
    <w:rsid w:val="00840494"/>
    <w:rsid w:val="0084133E"/>
    <w:rsid w:val="00843AFC"/>
    <w:rsid w:val="008465A9"/>
    <w:rsid w:val="0084680E"/>
    <w:rsid w:val="008502E8"/>
    <w:rsid w:val="00852FBF"/>
    <w:rsid w:val="0086061C"/>
    <w:rsid w:val="008617C4"/>
    <w:rsid w:val="00861AAA"/>
    <w:rsid w:val="00861AB2"/>
    <w:rsid w:val="00862C5D"/>
    <w:rsid w:val="0086616B"/>
    <w:rsid w:val="008730E0"/>
    <w:rsid w:val="00873A27"/>
    <w:rsid w:val="00875F16"/>
    <w:rsid w:val="00877B95"/>
    <w:rsid w:val="0088054E"/>
    <w:rsid w:val="008823F5"/>
    <w:rsid w:val="00882D97"/>
    <w:rsid w:val="00884008"/>
    <w:rsid w:val="0088466B"/>
    <w:rsid w:val="008863ED"/>
    <w:rsid w:val="00887923"/>
    <w:rsid w:val="00891BF2"/>
    <w:rsid w:val="00893019"/>
    <w:rsid w:val="00895702"/>
    <w:rsid w:val="00896254"/>
    <w:rsid w:val="008A077F"/>
    <w:rsid w:val="008A1113"/>
    <w:rsid w:val="008B2CB0"/>
    <w:rsid w:val="008B4AFA"/>
    <w:rsid w:val="008B62EB"/>
    <w:rsid w:val="008C180C"/>
    <w:rsid w:val="008C59B6"/>
    <w:rsid w:val="008D32D6"/>
    <w:rsid w:val="008D3651"/>
    <w:rsid w:val="008D4650"/>
    <w:rsid w:val="008D4F50"/>
    <w:rsid w:val="008E3803"/>
    <w:rsid w:val="008E6566"/>
    <w:rsid w:val="008E6FF1"/>
    <w:rsid w:val="008E74DB"/>
    <w:rsid w:val="008E7ABD"/>
    <w:rsid w:val="008F19BA"/>
    <w:rsid w:val="008F35FE"/>
    <w:rsid w:val="008F418C"/>
    <w:rsid w:val="008F5A70"/>
    <w:rsid w:val="008F6812"/>
    <w:rsid w:val="008F7FE8"/>
    <w:rsid w:val="009063AE"/>
    <w:rsid w:val="00910D01"/>
    <w:rsid w:val="00910F6C"/>
    <w:rsid w:val="00911367"/>
    <w:rsid w:val="00913F02"/>
    <w:rsid w:val="00913F64"/>
    <w:rsid w:val="00913F83"/>
    <w:rsid w:val="009147C2"/>
    <w:rsid w:val="0091483A"/>
    <w:rsid w:val="00914EB3"/>
    <w:rsid w:val="00915B28"/>
    <w:rsid w:val="00915B7C"/>
    <w:rsid w:val="009162E9"/>
    <w:rsid w:val="009216B8"/>
    <w:rsid w:val="00922E5D"/>
    <w:rsid w:val="0092336C"/>
    <w:rsid w:val="00923AFE"/>
    <w:rsid w:val="0092401F"/>
    <w:rsid w:val="0092490E"/>
    <w:rsid w:val="009264EF"/>
    <w:rsid w:val="00932A52"/>
    <w:rsid w:val="00932DB3"/>
    <w:rsid w:val="009456FD"/>
    <w:rsid w:val="00947253"/>
    <w:rsid w:val="00950C2E"/>
    <w:rsid w:val="00957E20"/>
    <w:rsid w:val="00963665"/>
    <w:rsid w:val="009637E5"/>
    <w:rsid w:val="00963B0D"/>
    <w:rsid w:val="00967169"/>
    <w:rsid w:val="00967F7E"/>
    <w:rsid w:val="00973704"/>
    <w:rsid w:val="00973974"/>
    <w:rsid w:val="00973BC4"/>
    <w:rsid w:val="009778B1"/>
    <w:rsid w:val="0098251D"/>
    <w:rsid w:val="00982D8C"/>
    <w:rsid w:val="00987035"/>
    <w:rsid w:val="00992864"/>
    <w:rsid w:val="00993066"/>
    <w:rsid w:val="009A5120"/>
    <w:rsid w:val="009A614E"/>
    <w:rsid w:val="009B4506"/>
    <w:rsid w:val="009B4A21"/>
    <w:rsid w:val="009B7D2A"/>
    <w:rsid w:val="009C2E7E"/>
    <w:rsid w:val="009C5C86"/>
    <w:rsid w:val="009C6FA2"/>
    <w:rsid w:val="009D35C3"/>
    <w:rsid w:val="009D5817"/>
    <w:rsid w:val="009D5ACF"/>
    <w:rsid w:val="009D5F92"/>
    <w:rsid w:val="009E1889"/>
    <w:rsid w:val="009E3AC2"/>
    <w:rsid w:val="009E6F87"/>
    <w:rsid w:val="009F0669"/>
    <w:rsid w:val="009F456D"/>
    <w:rsid w:val="009F7584"/>
    <w:rsid w:val="00A01BF9"/>
    <w:rsid w:val="00A02A20"/>
    <w:rsid w:val="00A038CC"/>
    <w:rsid w:val="00A05C5C"/>
    <w:rsid w:val="00A065D0"/>
    <w:rsid w:val="00A06967"/>
    <w:rsid w:val="00A21FB5"/>
    <w:rsid w:val="00A252F3"/>
    <w:rsid w:val="00A27C3D"/>
    <w:rsid w:val="00A3121F"/>
    <w:rsid w:val="00A31EEA"/>
    <w:rsid w:val="00A32EA3"/>
    <w:rsid w:val="00A3660C"/>
    <w:rsid w:val="00A36AE4"/>
    <w:rsid w:val="00A36D8E"/>
    <w:rsid w:val="00A40CAD"/>
    <w:rsid w:val="00A42E2E"/>
    <w:rsid w:val="00A4367F"/>
    <w:rsid w:val="00A508C3"/>
    <w:rsid w:val="00A539F2"/>
    <w:rsid w:val="00A54B82"/>
    <w:rsid w:val="00A54CF8"/>
    <w:rsid w:val="00A55334"/>
    <w:rsid w:val="00A5582A"/>
    <w:rsid w:val="00A62E41"/>
    <w:rsid w:val="00A70284"/>
    <w:rsid w:val="00A70472"/>
    <w:rsid w:val="00A74CAF"/>
    <w:rsid w:val="00A76A95"/>
    <w:rsid w:val="00A836EC"/>
    <w:rsid w:val="00A83A8D"/>
    <w:rsid w:val="00A91008"/>
    <w:rsid w:val="00A9108F"/>
    <w:rsid w:val="00A936D6"/>
    <w:rsid w:val="00A9488F"/>
    <w:rsid w:val="00AA24A1"/>
    <w:rsid w:val="00AA496A"/>
    <w:rsid w:val="00AA506C"/>
    <w:rsid w:val="00AA7D0E"/>
    <w:rsid w:val="00AB0075"/>
    <w:rsid w:val="00AB789E"/>
    <w:rsid w:val="00AC0100"/>
    <w:rsid w:val="00AC5E53"/>
    <w:rsid w:val="00AD06D2"/>
    <w:rsid w:val="00AD2584"/>
    <w:rsid w:val="00AD3C9E"/>
    <w:rsid w:val="00AE0149"/>
    <w:rsid w:val="00AE1579"/>
    <w:rsid w:val="00AE337C"/>
    <w:rsid w:val="00AE386F"/>
    <w:rsid w:val="00AE3A86"/>
    <w:rsid w:val="00AE3F64"/>
    <w:rsid w:val="00AE41F6"/>
    <w:rsid w:val="00AE6AED"/>
    <w:rsid w:val="00AF4374"/>
    <w:rsid w:val="00AF501E"/>
    <w:rsid w:val="00AF5A46"/>
    <w:rsid w:val="00B00F9C"/>
    <w:rsid w:val="00B010B1"/>
    <w:rsid w:val="00B02311"/>
    <w:rsid w:val="00B03BAE"/>
    <w:rsid w:val="00B10543"/>
    <w:rsid w:val="00B1067C"/>
    <w:rsid w:val="00B10709"/>
    <w:rsid w:val="00B11378"/>
    <w:rsid w:val="00B113BC"/>
    <w:rsid w:val="00B15FAF"/>
    <w:rsid w:val="00B219FE"/>
    <w:rsid w:val="00B225AB"/>
    <w:rsid w:val="00B24A5A"/>
    <w:rsid w:val="00B3318A"/>
    <w:rsid w:val="00B378D3"/>
    <w:rsid w:val="00B4029D"/>
    <w:rsid w:val="00B42BFD"/>
    <w:rsid w:val="00B43C0D"/>
    <w:rsid w:val="00B43E13"/>
    <w:rsid w:val="00B44D3D"/>
    <w:rsid w:val="00B46D14"/>
    <w:rsid w:val="00B47FE1"/>
    <w:rsid w:val="00B53E56"/>
    <w:rsid w:val="00B54CB8"/>
    <w:rsid w:val="00B55120"/>
    <w:rsid w:val="00B57A64"/>
    <w:rsid w:val="00B604E0"/>
    <w:rsid w:val="00B61086"/>
    <w:rsid w:val="00B61840"/>
    <w:rsid w:val="00B63356"/>
    <w:rsid w:val="00B726D8"/>
    <w:rsid w:val="00B763CB"/>
    <w:rsid w:val="00B77609"/>
    <w:rsid w:val="00B77C15"/>
    <w:rsid w:val="00B845DF"/>
    <w:rsid w:val="00B861D7"/>
    <w:rsid w:val="00B8770C"/>
    <w:rsid w:val="00B909BE"/>
    <w:rsid w:val="00B90C20"/>
    <w:rsid w:val="00B91E08"/>
    <w:rsid w:val="00B94930"/>
    <w:rsid w:val="00B958EC"/>
    <w:rsid w:val="00B96B35"/>
    <w:rsid w:val="00BA0966"/>
    <w:rsid w:val="00BA7A5D"/>
    <w:rsid w:val="00BB0BA4"/>
    <w:rsid w:val="00BB18D7"/>
    <w:rsid w:val="00BB2F09"/>
    <w:rsid w:val="00BB4DB4"/>
    <w:rsid w:val="00BC74E5"/>
    <w:rsid w:val="00BC7763"/>
    <w:rsid w:val="00BC7FDD"/>
    <w:rsid w:val="00BD0A45"/>
    <w:rsid w:val="00BD1C66"/>
    <w:rsid w:val="00BD4F38"/>
    <w:rsid w:val="00BE2C9E"/>
    <w:rsid w:val="00BE330F"/>
    <w:rsid w:val="00BE38E8"/>
    <w:rsid w:val="00BE787B"/>
    <w:rsid w:val="00BF191C"/>
    <w:rsid w:val="00BF2AAE"/>
    <w:rsid w:val="00BF4B88"/>
    <w:rsid w:val="00BF6287"/>
    <w:rsid w:val="00BF6CA2"/>
    <w:rsid w:val="00C00408"/>
    <w:rsid w:val="00C00AD7"/>
    <w:rsid w:val="00C0321C"/>
    <w:rsid w:val="00C039DC"/>
    <w:rsid w:val="00C0429A"/>
    <w:rsid w:val="00C05CFF"/>
    <w:rsid w:val="00C063FF"/>
    <w:rsid w:val="00C07361"/>
    <w:rsid w:val="00C11A25"/>
    <w:rsid w:val="00C15A80"/>
    <w:rsid w:val="00C22E94"/>
    <w:rsid w:val="00C234B4"/>
    <w:rsid w:val="00C2491E"/>
    <w:rsid w:val="00C26B07"/>
    <w:rsid w:val="00C3321C"/>
    <w:rsid w:val="00C33CA9"/>
    <w:rsid w:val="00C34E35"/>
    <w:rsid w:val="00C35FF4"/>
    <w:rsid w:val="00C400EE"/>
    <w:rsid w:val="00C40A74"/>
    <w:rsid w:val="00C40BE8"/>
    <w:rsid w:val="00C45417"/>
    <w:rsid w:val="00C4562B"/>
    <w:rsid w:val="00C46D0A"/>
    <w:rsid w:val="00C5603A"/>
    <w:rsid w:val="00C606BB"/>
    <w:rsid w:val="00C62EBC"/>
    <w:rsid w:val="00C85D42"/>
    <w:rsid w:val="00C876DE"/>
    <w:rsid w:val="00C879B4"/>
    <w:rsid w:val="00C92D6B"/>
    <w:rsid w:val="00C938DF"/>
    <w:rsid w:val="00CA07B7"/>
    <w:rsid w:val="00CA32E5"/>
    <w:rsid w:val="00CA5C38"/>
    <w:rsid w:val="00CA69FF"/>
    <w:rsid w:val="00CB2BD3"/>
    <w:rsid w:val="00CB3A05"/>
    <w:rsid w:val="00CB3E9A"/>
    <w:rsid w:val="00CC1744"/>
    <w:rsid w:val="00CC4907"/>
    <w:rsid w:val="00CC4C5C"/>
    <w:rsid w:val="00CC7B62"/>
    <w:rsid w:val="00CD1DDC"/>
    <w:rsid w:val="00CD7852"/>
    <w:rsid w:val="00CE1C88"/>
    <w:rsid w:val="00CE2226"/>
    <w:rsid w:val="00CE51AF"/>
    <w:rsid w:val="00CF0145"/>
    <w:rsid w:val="00CF0603"/>
    <w:rsid w:val="00CF0C8E"/>
    <w:rsid w:val="00CF3628"/>
    <w:rsid w:val="00CF7888"/>
    <w:rsid w:val="00D03845"/>
    <w:rsid w:val="00D03B51"/>
    <w:rsid w:val="00D056DF"/>
    <w:rsid w:val="00D05CAD"/>
    <w:rsid w:val="00D10207"/>
    <w:rsid w:val="00D134A1"/>
    <w:rsid w:val="00D16AF7"/>
    <w:rsid w:val="00D174AC"/>
    <w:rsid w:val="00D21324"/>
    <w:rsid w:val="00D22795"/>
    <w:rsid w:val="00D237B6"/>
    <w:rsid w:val="00D24D75"/>
    <w:rsid w:val="00D326B5"/>
    <w:rsid w:val="00D33FA5"/>
    <w:rsid w:val="00D34EEB"/>
    <w:rsid w:val="00D34F79"/>
    <w:rsid w:val="00D36DDA"/>
    <w:rsid w:val="00D50DAD"/>
    <w:rsid w:val="00D53497"/>
    <w:rsid w:val="00D56485"/>
    <w:rsid w:val="00D60E84"/>
    <w:rsid w:val="00D64F56"/>
    <w:rsid w:val="00D6518F"/>
    <w:rsid w:val="00D6740F"/>
    <w:rsid w:val="00D731A6"/>
    <w:rsid w:val="00D75D57"/>
    <w:rsid w:val="00D83C83"/>
    <w:rsid w:val="00D842F2"/>
    <w:rsid w:val="00D84D42"/>
    <w:rsid w:val="00D91656"/>
    <w:rsid w:val="00D96A94"/>
    <w:rsid w:val="00DA44D3"/>
    <w:rsid w:val="00DA6E1E"/>
    <w:rsid w:val="00DB5AE7"/>
    <w:rsid w:val="00DC70A3"/>
    <w:rsid w:val="00DD4AD5"/>
    <w:rsid w:val="00DD4BF9"/>
    <w:rsid w:val="00DD7FF5"/>
    <w:rsid w:val="00DE358D"/>
    <w:rsid w:val="00DF3703"/>
    <w:rsid w:val="00DF3A3C"/>
    <w:rsid w:val="00E01911"/>
    <w:rsid w:val="00E064B0"/>
    <w:rsid w:val="00E06A14"/>
    <w:rsid w:val="00E077C5"/>
    <w:rsid w:val="00E101D8"/>
    <w:rsid w:val="00E15FD3"/>
    <w:rsid w:val="00E22604"/>
    <w:rsid w:val="00E26290"/>
    <w:rsid w:val="00E265BD"/>
    <w:rsid w:val="00E34EDE"/>
    <w:rsid w:val="00E37C3A"/>
    <w:rsid w:val="00E40884"/>
    <w:rsid w:val="00E45CAD"/>
    <w:rsid w:val="00E45F8E"/>
    <w:rsid w:val="00E46F4D"/>
    <w:rsid w:val="00E53422"/>
    <w:rsid w:val="00E54401"/>
    <w:rsid w:val="00E54D61"/>
    <w:rsid w:val="00E611E0"/>
    <w:rsid w:val="00E664BD"/>
    <w:rsid w:val="00E66F32"/>
    <w:rsid w:val="00E67B56"/>
    <w:rsid w:val="00E71C20"/>
    <w:rsid w:val="00E75028"/>
    <w:rsid w:val="00E75AC2"/>
    <w:rsid w:val="00E84912"/>
    <w:rsid w:val="00E84F6F"/>
    <w:rsid w:val="00E9116A"/>
    <w:rsid w:val="00E92157"/>
    <w:rsid w:val="00E9274F"/>
    <w:rsid w:val="00E952F5"/>
    <w:rsid w:val="00EA08F4"/>
    <w:rsid w:val="00EA0FFB"/>
    <w:rsid w:val="00EA1F7C"/>
    <w:rsid w:val="00EA3357"/>
    <w:rsid w:val="00EA57F4"/>
    <w:rsid w:val="00EB1A72"/>
    <w:rsid w:val="00EB2F14"/>
    <w:rsid w:val="00EB55C2"/>
    <w:rsid w:val="00EB756C"/>
    <w:rsid w:val="00EC0042"/>
    <w:rsid w:val="00EC07DC"/>
    <w:rsid w:val="00EC2284"/>
    <w:rsid w:val="00EC2C55"/>
    <w:rsid w:val="00EC3687"/>
    <w:rsid w:val="00EC36FE"/>
    <w:rsid w:val="00EC3F73"/>
    <w:rsid w:val="00EC6F5B"/>
    <w:rsid w:val="00ED2E30"/>
    <w:rsid w:val="00ED3D83"/>
    <w:rsid w:val="00ED46AD"/>
    <w:rsid w:val="00ED527A"/>
    <w:rsid w:val="00ED7372"/>
    <w:rsid w:val="00ED7F23"/>
    <w:rsid w:val="00EE0DD1"/>
    <w:rsid w:val="00EE12EE"/>
    <w:rsid w:val="00EE4D14"/>
    <w:rsid w:val="00EF0336"/>
    <w:rsid w:val="00EF27B0"/>
    <w:rsid w:val="00EF6889"/>
    <w:rsid w:val="00F0214C"/>
    <w:rsid w:val="00F07989"/>
    <w:rsid w:val="00F10AB6"/>
    <w:rsid w:val="00F13509"/>
    <w:rsid w:val="00F149B1"/>
    <w:rsid w:val="00F15A8E"/>
    <w:rsid w:val="00F176B1"/>
    <w:rsid w:val="00F17AF9"/>
    <w:rsid w:val="00F17B60"/>
    <w:rsid w:val="00F20D03"/>
    <w:rsid w:val="00F223B7"/>
    <w:rsid w:val="00F23ECF"/>
    <w:rsid w:val="00F32851"/>
    <w:rsid w:val="00F32A47"/>
    <w:rsid w:val="00F34E61"/>
    <w:rsid w:val="00F364C0"/>
    <w:rsid w:val="00F37399"/>
    <w:rsid w:val="00F4164E"/>
    <w:rsid w:val="00F42B86"/>
    <w:rsid w:val="00F42CF2"/>
    <w:rsid w:val="00F43176"/>
    <w:rsid w:val="00F439F1"/>
    <w:rsid w:val="00F44CA2"/>
    <w:rsid w:val="00F45C42"/>
    <w:rsid w:val="00F47786"/>
    <w:rsid w:val="00F510A9"/>
    <w:rsid w:val="00F5323F"/>
    <w:rsid w:val="00F5411D"/>
    <w:rsid w:val="00F7345A"/>
    <w:rsid w:val="00F73860"/>
    <w:rsid w:val="00F82C7C"/>
    <w:rsid w:val="00F83EF4"/>
    <w:rsid w:val="00F9009A"/>
    <w:rsid w:val="00F902A6"/>
    <w:rsid w:val="00F940B2"/>
    <w:rsid w:val="00F95358"/>
    <w:rsid w:val="00FA5338"/>
    <w:rsid w:val="00FA5D20"/>
    <w:rsid w:val="00FA6B59"/>
    <w:rsid w:val="00FA76B0"/>
    <w:rsid w:val="00FA7F89"/>
    <w:rsid w:val="00FB0E24"/>
    <w:rsid w:val="00FB5EB2"/>
    <w:rsid w:val="00FB5F4B"/>
    <w:rsid w:val="00FC0661"/>
    <w:rsid w:val="00FC267A"/>
    <w:rsid w:val="00FC5C29"/>
    <w:rsid w:val="00FC6F40"/>
    <w:rsid w:val="00FD3D40"/>
    <w:rsid w:val="00FD43A5"/>
    <w:rsid w:val="00FD7129"/>
    <w:rsid w:val="00FE7EC3"/>
    <w:rsid w:val="00FF2DCB"/>
    <w:rsid w:val="00FF7C0F"/>
    <w:rsid w:val="049538B6"/>
    <w:rsid w:val="05255C0A"/>
    <w:rsid w:val="08E210C1"/>
    <w:rsid w:val="0B542351"/>
    <w:rsid w:val="0C514B37"/>
    <w:rsid w:val="1BFF4164"/>
    <w:rsid w:val="239723AC"/>
    <w:rsid w:val="289D6145"/>
    <w:rsid w:val="28A727AD"/>
    <w:rsid w:val="2D7B47DF"/>
    <w:rsid w:val="2F26316E"/>
    <w:rsid w:val="2F345654"/>
    <w:rsid w:val="37904FA9"/>
    <w:rsid w:val="3A974CCE"/>
    <w:rsid w:val="479666E4"/>
    <w:rsid w:val="48196E51"/>
    <w:rsid w:val="521962B9"/>
    <w:rsid w:val="5A68143B"/>
    <w:rsid w:val="5C830006"/>
    <w:rsid w:val="5ED4403B"/>
    <w:rsid w:val="65706120"/>
    <w:rsid w:val="6A8358B8"/>
    <w:rsid w:val="6AA26ECE"/>
    <w:rsid w:val="6FB91CBF"/>
    <w:rsid w:val="7038374F"/>
    <w:rsid w:val="7F5D44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semiHidden="0"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Times New Roman" w:hAnsi="Times New Roman" w:eastAsia="仿宋_GB2312" w:cstheme="minorBidi"/>
      <w:kern w:val="2"/>
      <w:sz w:val="30"/>
      <w:szCs w:val="22"/>
      <w:lang w:val="en-US" w:eastAsia="zh-CN" w:bidi="ar-SA"/>
    </w:rPr>
  </w:style>
  <w:style w:type="paragraph" w:styleId="2">
    <w:name w:val="heading 1"/>
    <w:basedOn w:val="1"/>
    <w:next w:val="1"/>
    <w:link w:val="23"/>
    <w:qFormat/>
    <w:uiPriority w:val="9"/>
    <w:pPr>
      <w:keepNext/>
      <w:keepLines/>
      <w:spacing w:before="130" w:after="130"/>
      <w:outlineLvl w:val="0"/>
    </w:pPr>
    <w:rPr>
      <w:rFonts w:eastAsia="黑体"/>
      <w:bCs/>
      <w:kern w:val="44"/>
      <w:szCs w:val="44"/>
    </w:rPr>
  </w:style>
  <w:style w:type="paragraph" w:styleId="3">
    <w:name w:val="heading 2"/>
    <w:basedOn w:val="1"/>
    <w:next w:val="1"/>
    <w:link w:val="24"/>
    <w:unhideWhenUsed/>
    <w:qFormat/>
    <w:uiPriority w:val="9"/>
    <w:pPr>
      <w:keepNext/>
      <w:keepLines/>
      <w:spacing w:before="130" w:after="130"/>
      <w:ind w:firstLine="150" w:firstLineChars="150"/>
      <w:outlineLvl w:val="1"/>
    </w:pPr>
    <w:rPr>
      <w:rFonts w:eastAsia="楷体_GB2312" w:asciiTheme="majorHAnsi" w:hAnsiTheme="majorHAnsi" w:cstheme="majorBidi"/>
      <w:b/>
      <w:bCs/>
      <w:szCs w:val="32"/>
    </w:rPr>
  </w:style>
  <w:style w:type="paragraph" w:styleId="4">
    <w:name w:val="heading 3"/>
    <w:basedOn w:val="1"/>
    <w:next w:val="1"/>
    <w:link w:val="25"/>
    <w:unhideWhenUsed/>
    <w:qFormat/>
    <w:uiPriority w:val="9"/>
    <w:pPr>
      <w:keepNext/>
      <w:keepLines/>
      <w:spacing w:before="130" w:after="130"/>
      <w:outlineLvl w:val="2"/>
    </w:pPr>
    <w:rPr>
      <w:b/>
      <w:bCs/>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Document Map"/>
    <w:basedOn w:val="1"/>
    <w:link w:val="26"/>
    <w:unhideWhenUsed/>
    <w:qFormat/>
    <w:uiPriority w:val="99"/>
    <w:rPr>
      <w:rFonts w:ascii="宋体" w:eastAsia="宋体"/>
      <w:sz w:val="18"/>
      <w:szCs w:val="18"/>
    </w:rPr>
  </w:style>
  <w:style w:type="paragraph" w:styleId="6">
    <w:name w:val="annotation text"/>
    <w:basedOn w:val="1"/>
    <w:link w:val="32"/>
    <w:unhideWhenUsed/>
    <w:qFormat/>
    <w:uiPriority w:val="99"/>
    <w:pPr>
      <w:jc w:val="left"/>
    </w:pPr>
  </w:style>
  <w:style w:type="paragraph" w:styleId="7">
    <w:name w:val="Body Text Indent"/>
    <w:basedOn w:val="1"/>
    <w:qFormat/>
    <w:uiPriority w:val="0"/>
    <w:pPr>
      <w:autoSpaceDE w:val="0"/>
      <w:autoSpaceDN w:val="0"/>
      <w:adjustRightInd w:val="0"/>
      <w:spacing w:line="480" w:lineRule="auto"/>
      <w:ind w:firstLine="640"/>
    </w:pPr>
    <w:rPr>
      <w:rFonts w:ascii="仿宋_GB2312" w:hAnsi="宋体"/>
      <w:sz w:val="32"/>
      <w:szCs w:val="32"/>
    </w:rPr>
  </w:style>
  <w:style w:type="paragraph" w:styleId="8">
    <w:name w:val="Balloon Text"/>
    <w:basedOn w:val="1"/>
    <w:link w:val="31"/>
    <w:unhideWhenUsed/>
    <w:qFormat/>
    <w:uiPriority w:val="99"/>
    <w:rPr>
      <w:sz w:val="18"/>
      <w:szCs w:val="18"/>
    </w:rPr>
  </w:style>
  <w:style w:type="paragraph" w:styleId="9">
    <w:name w:val="footer"/>
    <w:basedOn w:val="1"/>
    <w:link w:val="28"/>
    <w:unhideWhenUsed/>
    <w:qFormat/>
    <w:uiPriority w:val="0"/>
    <w:pPr>
      <w:tabs>
        <w:tab w:val="center" w:pos="4153"/>
        <w:tab w:val="right" w:pos="8306"/>
      </w:tabs>
      <w:snapToGrid w:val="0"/>
      <w:jc w:val="left"/>
    </w:pPr>
    <w:rPr>
      <w:sz w:val="18"/>
      <w:szCs w:val="18"/>
    </w:rPr>
  </w:style>
  <w:style w:type="paragraph" w:styleId="10">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nhideWhenUsed/>
    <w:qFormat/>
    <w:uiPriority w:val="39"/>
    <w:pPr>
      <w:tabs>
        <w:tab w:val="right" w:leader="dot" w:pos="8296"/>
      </w:tabs>
      <w:ind w:firstLine="0" w:firstLineChars="0"/>
    </w:pPr>
    <w:rPr>
      <w:rFonts w:eastAsia="黑体" w:cs="Times New Roman"/>
    </w:rPr>
  </w:style>
  <w:style w:type="paragraph" w:styleId="12">
    <w:name w:val="footnote text"/>
    <w:basedOn w:val="1"/>
    <w:link w:val="29"/>
    <w:unhideWhenUsed/>
    <w:qFormat/>
    <w:uiPriority w:val="99"/>
    <w:pPr>
      <w:snapToGrid w:val="0"/>
      <w:ind w:firstLine="0" w:firstLineChars="0"/>
      <w:jc w:val="left"/>
    </w:pPr>
    <w:rPr>
      <w:rFonts w:asciiTheme="minorHAnsi" w:hAnsiTheme="minorHAnsi" w:eastAsiaTheme="minorEastAsia"/>
      <w:sz w:val="18"/>
      <w:szCs w:val="18"/>
    </w:rPr>
  </w:style>
  <w:style w:type="paragraph" w:styleId="13">
    <w:name w:val="toc 2"/>
    <w:basedOn w:val="1"/>
    <w:next w:val="1"/>
    <w:unhideWhenUsed/>
    <w:qFormat/>
    <w:uiPriority w:val="39"/>
    <w:pPr>
      <w:tabs>
        <w:tab w:val="right" w:leader="dot" w:pos="8296"/>
      </w:tabs>
      <w:ind w:left="600" w:leftChars="200" w:firstLine="0" w:firstLineChars="0"/>
    </w:pPr>
    <w:rPr>
      <w:rFonts w:ascii="楷体_GB2312" w:eastAsia="楷体_GB2312"/>
    </w:rPr>
  </w:style>
  <w:style w:type="paragraph" w:styleId="14">
    <w:name w:val="Normal (Web)"/>
    <w:basedOn w:val="1"/>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paragraph" w:styleId="15">
    <w:name w:val="annotation subject"/>
    <w:basedOn w:val="6"/>
    <w:next w:val="6"/>
    <w:link w:val="33"/>
    <w:unhideWhenUsed/>
    <w:qFormat/>
    <w:uiPriority w:val="99"/>
    <w:rPr>
      <w:b/>
      <w:bCs/>
    </w:rPr>
  </w:style>
  <w:style w:type="table" w:styleId="17">
    <w:name w:val="Table Grid"/>
    <w:basedOn w:val="1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styleId="21">
    <w:name w:val="annotation reference"/>
    <w:basedOn w:val="18"/>
    <w:unhideWhenUsed/>
    <w:qFormat/>
    <w:uiPriority w:val="99"/>
    <w:rPr>
      <w:sz w:val="21"/>
      <w:szCs w:val="21"/>
    </w:rPr>
  </w:style>
  <w:style w:type="character" w:styleId="22">
    <w:name w:val="footnote reference"/>
    <w:basedOn w:val="18"/>
    <w:unhideWhenUsed/>
    <w:qFormat/>
    <w:uiPriority w:val="99"/>
    <w:rPr>
      <w:vertAlign w:val="superscript"/>
    </w:rPr>
  </w:style>
  <w:style w:type="character" w:customStyle="1" w:styleId="23">
    <w:name w:val="标题 1 Char"/>
    <w:basedOn w:val="18"/>
    <w:link w:val="2"/>
    <w:qFormat/>
    <w:uiPriority w:val="9"/>
    <w:rPr>
      <w:rFonts w:ascii="Times New Roman" w:hAnsi="Times New Roman" w:eastAsia="黑体"/>
      <w:bCs/>
      <w:kern w:val="44"/>
      <w:sz w:val="32"/>
      <w:szCs w:val="44"/>
    </w:rPr>
  </w:style>
  <w:style w:type="character" w:customStyle="1" w:styleId="24">
    <w:name w:val="标题 2 Char"/>
    <w:basedOn w:val="18"/>
    <w:link w:val="3"/>
    <w:qFormat/>
    <w:uiPriority w:val="9"/>
    <w:rPr>
      <w:rFonts w:eastAsia="楷体_GB2312" w:asciiTheme="majorHAnsi" w:hAnsiTheme="majorHAnsi" w:cstheme="majorBidi"/>
      <w:b/>
      <w:bCs/>
      <w:sz w:val="32"/>
      <w:szCs w:val="32"/>
    </w:rPr>
  </w:style>
  <w:style w:type="character" w:customStyle="1" w:styleId="25">
    <w:name w:val="标题 3 Char"/>
    <w:basedOn w:val="18"/>
    <w:link w:val="4"/>
    <w:qFormat/>
    <w:uiPriority w:val="9"/>
    <w:rPr>
      <w:rFonts w:ascii="Times New Roman" w:hAnsi="Times New Roman" w:eastAsia="仿宋_GB2312"/>
      <w:b/>
      <w:bCs/>
      <w:sz w:val="32"/>
      <w:szCs w:val="32"/>
    </w:rPr>
  </w:style>
  <w:style w:type="character" w:customStyle="1" w:styleId="26">
    <w:name w:val="文档结构图 Char"/>
    <w:basedOn w:val="18"/>
    <w:link w:val="5"/>
    <w:semiHidden/>
    <w:qFormat/>
    <w:uiPriority w:val="99"/>
    <w:rPr>
      <w:rFonts w:ascii="宋体" w:hAnsi="Times New Roman" w:eastAsia="宋体"/>
      <w:sz w:val="18"/>
      <w:szCs w:val="18"/>
    </w:rPr>
  </w:style>
  <w:style w:type="character" w:customStyle="1" w:styleId="27">
    <w:name w:val="页眉 Char"/>
    <w:basedOn w:val="18"/>
    <w:link w:val="10"/>
    <w:qFormat/>
    <w:uiPriority w:val="99"/>
    <w:rPr>
      <w:rFonts w:ascii="Times New Roman" w:hAnsi="Times New Roman" w:eastAsia="仿宋_GB2312"/>
      <w:sz w:val="18"/>
      <w:szCs w:val="18"/>
    </w:rPr>
  </w:style>
  <w:style w:type="character" w:customStyle="1" w:styleId="28">
    <w:name w:val="页脚 Char"/>
    <w:basedOn w:val="18"/>
    <w:link w:val="9"/>
    <w:qFormat/>
    <w:uiPriority w:val="99"/>
    <w:rPr>
      <w:rFonts w:ascii="Times New Roman" w:hAnsi="Times New Roman" w:eastAsia="仿宋_GB2312"/>
      <w:sz w:val="18"/>
      <w:szCs w:val="18"/>
    </w:rPr>
  </w:style>
  <w:style w:type="character" w:customStyle="1" w:styleId="29">
    <w:name w:val="脚注文本 Char"/>
    <w:basedOn w:val="18"/>
    <w:link w:val="12"/>
    <w:qFormat/>
    <w:uiPriority w:val="99"/>
    <w:rPr>
      <w:sz w:val="18"/>
      <w:szCs w:val="18"/>
    </w:rPr>
  </w:style>
  <w:style w:type="paragraph" w:customStyle="1" w:styleId="30">
    <w:name w:val="列出段落1"/>
    <w:basedOn w:val="1"/>
    <w:qFormat/>
    <w:uiPriority w:val="34"/>
    <w:pPr>
      <w:ind w:firstLine="420"/>
    </w:pPr>
  </w:style>
  <w:style w:type="character" w:customStyle="1" w:styleId="31">
    <w:name w:val="批注框文本 Char"/>
    <w:basedOn w:val="18"/>
    <w:link w:val="8"/>
    <w:semiHidden/>
    <w:qFormat/>
    <w:uiPriority w:val="99"/>
    <w:rPr>
      <w:rFonts w:ascii="Times New Roman" w:hAnsi="Times New Roman" w:eastAsia="仿宋_GB2312"/>
      <w:sz w:val="18"/>
      <w:szCs w:val="18"/>
    </w:rPr>
  </w:style>
  <w:style w:type="character" w:customStyle="1" w:styleId="32">
    <w:name w:val="批注文字 Char"/>
    <w:basedOn w:val="18"/>
    <w:link w:val="6"/>
    <w:semiHidden/>
    <w:qFormat/>
    <w:uiPriority w:val="99"/>
    <w:rPr>
      <w:rFonts w:ascii="Times New Roman" w:hAnsi="Times New Roman" w:eastAsia="仿宋_GB2312"/>
      <w:sz w:val="30"/>
    </w:rPr>
  </w:style>
  <w:style w:type="character" w:customStyle="1" w:styleId="33">
    <w:name w:val="批注主题 Char"/>
    <w:basedOn w:val="32"/>
    <w:link w:val="15"/>
    <w:semiHidden/>
    <w:qFormat/>
    <w:uiPriority w:val="99"/>
    <w:rPr>
      <w:rFonts w:ascii="Times New Roman" w:hAnsi="Times New Roman" w:eastAsia="仿宋_GB2312"/>
      <w:b/>
      <w:bCs/>
      <w:sz w:val="30"/>
    </w:rPr>
  </w:style>
  <w:style w:type="paragraph" w:styleId="34">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52F79A5-BA77-49D5-9F76-4C596D25391B}">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27</Pages>
  <Words>2258</Words>
  <Characters>12875</Characters>
  <Lines>107</Lines>
  <Paragraphs>30</Paragraphs>
  <TotalTime>201</TotalTime>
  <ScaleCrop>false</ScaleCrop>
  <LinksUpToDate>false</LinksUpToDate>
  <CharactersWithSpaces>15103</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2020-11-19T01:52:00Z</dcterms:created>
  <dc:creator>admin</dc:creator>
  <cp:lastModifiedBy>wxj</cp:lastModifiedBy>
  <cp:lastPrinted>2021-04-12T00:39:00Z</cp:lastPrinted>
  <dcterms:modified xsi:type="dcterms:W3CDTF">2023-09-11T08:05:43Z</dcterms:modified>
  <cp:revision>111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C6F87F9AC2284CFCB888186712E08C5E</vt:lpwstr>
  </property>
</Properties>
</file>