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：</w:t>
      </w:r>
    </w:p>
    <w:p>
      <w:pPr>
        <w:spacing w:line="54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慈溪市支持企业冲刺全年红、</w:t>
      </w:r>
      <w:r>
        <w:rPr>
          <w:rFonts w:ascii="黑体" w:hAnsi="黑体" w:eastAsia="黑体" w:cs="黑体"/>
          <w:b/>
          <w:bCs/>
          <w:sz w:val="32"/>
          <w:szCs w:val="32"/>
        </w:rPr>
        <w:t>开门红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奖励实施细则</w:t>
      </w:r>
    </w:p>
    <w:p>
      <w:pPr>
        <w:spacing w:line="52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根据《</w:t>
      </w:r>
      <w:r>
        <w:rPr>
          <w:rFonts w:ascii="仿宋" w:hAnsi="仿宋" w:eastAsia="仿宋" w:cs="仿宋_GB2312"/>
          <w:bCs/>
          <w:sz w:val="32"/>
          <w:szCs w:val="32"/>
        </w:rPr>
        <w:t>慈溪市人民政府关于进一步促进经济稳进提质的产业政策意见</w:t>
      </w:r>
      <w:r>
        <w:rPr>
          <w:rFonts w:hint="eastAsia" w:ascii="仿宋" w:hAnsi="仿宋" w:eastAsia="仿宋" w:cs="仿宋_GB2312"/>
          <w:bCs/>
          <w:sz w:val="32"/>
          <w:szCs w:val="32"/>
        </w:rPr>
        <w:t>》（慈政发〔2022〕30号）文件规定，市经信局会同市财政局特制定本实</w:t>
      </w:r>
      <w:bookmarkStart w:id="0" w:name="_GoBack"/>
      <w:bookmarkEnd w:id="0"/>
      <w:r>
        <w:rPr>
          <w:rFonts w:hint="eastAsia" w:ascii="仿宋" w:hAnsi="仿宋" w:eastAsia="仿宋" w:cs="仿宋_GB2312"/>
          <w:bCs/>
          <w:sz w:val="32"/>
          <w:szCs w:val="32"/>
        </w:rPr>
        <w:t>施细则。</w:t>
      </w:r>
    </w:p>
    <w:p>
      <w:pPr>
        <w:numPr>
          <w:ilvl w:val="0"/>
          <w:numId w:val="1"/>
        </w:numPr>
        <w:spacing w:line="560" w:lineRule="exact"/>
        <w:ind w:firstLine="622"/>
        <w:jc w:val="left"/>
        <w:rPr>
          <w:rFonts w:ascii="仿宋" w:hAnsi="仿宋" w:eastAsia="仿宋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黑体"/>
          <w:b/>
          <w:bCs/>
          <w:color w:val="000000"/>
          <w:kern w:val="0"/>
          <w:sz w:val="32"/>
          <w:szCs w:val="32"/>
          <w:lang w:bidi="ar"/>
        </w:rPr>
        <w:t>奖励条件和标准</w:t>
      </w:r>
    </w:p>
    <w:p>
      <w:pPr>
        <w:spacing w:line="560" w:lineRule="exact"/>
        <w:ind w:firstLine="643" w:firstLineChars="200"/>
        <w:jc w:val="left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（一）全年红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对2022年度产值达到亿元以上且同比增长达到30%以上的规上制造业企业，对其2022年全年工业总产值同比增长30%以上部分，产值每增加1000万元，给予3.5万元奖励。</w:t>
      </w:r>
      <w:r>
        <w:rPr>
          <w:rFonts w:hint="eastAsia" w:ascii="仿宋" w:hAnsi="仿宋" w:eastAsia="仿宋" w:cs="楷体"/>
          <w:b/>
          <w:bCs/>
          <w:color w:val="000000"/>
          <w:kern w:val="0"/>
          <w:sz w:val="32"/>
          <w:szCs w:val="32"/>
          <w:lang w:bidi="ar"/>
        </w:rPr>
        <w:br w:type="textWrapping"/>
      </w:r>
      <w:r>
        <w:rPr>
          <w:rFonts w:hint="eastAsia" w:ascii="仿宋" w:hAnsi="仿宋" w:eastAsia="仿宋" w:cs="楷体"/>
          <w:b/>
          <w:bCs/>
          <w:color w:val="000000"/>
          <w:kern w:val="0"/>
          <w:sz w:val="32"/>
          <w:szCs w:val="32"/>
          <w:lang w:bidi="ar"/>
        </w:rPr>
        <w:t xml:space="preserve">    </w:t>
      </w:r>
      <w:r>
        <w:rPr>
          <w:rFonts w:hint="eastAsia" w:ascii="仿宋" w:hAnsi="仿宋" w:eastAsia="仿宋" w:cs="仿宋_GB2312"/>
          <w:bCs/>
          <w:sz w:val="32"/>
          <w:szCs w:val="32"/>
        </w:rPr>
        <w:t>对2022年度产值达到四亿元以上且同比增长达到15%以上的规上制造业企业，对其2022年全年工业总产值同比增长15%以上部分，产值每增加1000万元，给予5.5万元奖励。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    对2022年度产值达到百亿元以上且同比增长达到5%以上的规上制造业企业，对其2022年全年工业总产值同比增长5%以上部分，产值每增加1000万元，给予7.5万元奖励。</w:t>
      </w:r>
    </w:p>
    <w:p>
      <w:pPr>
        <w:spacing w:line="560" w:lineRule="exact"/>
        <w:ind w:firstLine="643" w:firstLineChars="200"/>
        <w:jc w:val="left"/>
        <w:rPr>
          <w:rFonts w:ascii="仿宋" w:hAnsi="仿宋" w:eastAsia="仿宋" w:cs="黑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（二）开门红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对2022年度产值达到亿元以上且2023年一季度产值同比增长达到30%以上的规上制造业企业，对其2023年一季度产值同比增长30%以上部分，产值每增加1000万元，给予3.5万元奖励。</w:t>
      </w:r>
      <w:r>
        <w:rPr>
          <w:rFonts w:hint="eastAsia" w:ascii="仿宋" w:hAnsi="仿宋" w:eastAsia="仿宋" w:cs="楷体"/>
          <w:b/>
          <w:bCs/>
          <w:color w:val="000000"/>
          <w:kern w:val="0"/>
          <w:sz w:val="32"/>
          <w:szCs w:val="32"/>
          <w:lang w:bidi="ar"/>
        </w:rPr>
        <w:br w:type="textWrapping"/>
      </w:r>
      <w:r>
        <w:rPr>
          <w:rFonts w:hint="eastAsia" w:ascii="仿宋" w:hAnsi="仿宋" w:eastAsia="仿宋" w:cs="楷体"/>
          <w:b/>
          <w:bCs/>
          <w:color w:val="000000"/>
          <w:kern w:val="0"/>
          <w:sz w:val="32"/>
          <w:szCs w:val="32"/>
          <w:lang w:bidi="ar"/>
        </w:rPr>
        <w:t xml:space="preserve">    </w:t>
      </w:r>
      <w:r>
        <w:rPr>
          <w:rFonts w:hint="eastAsia" w:ascii="仿宋" w:hAnsi="仿宋" w:eastAsia="仿宋" w:cs="仿宋_GB2312"/>
          <w:bCs/>
          <w:sz w:val="32"/>
          <w:szCs w:val="32"/>
        </w:rPr>
        <w:t>对2022年度产值达到四亿元以上且2023年一季度产值同比增长达到15%以上的规上制造业企业，对其2023年一季度产值同比增长15%以上部分，产值每增加1000万元，给予5.5万元奖励。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   对2022年度产值达到百亿元以上且2023年一季度产值同比增长达到5%以上的规上制造业企业，对其2023年一季度产值同比增长5%以上部分，产值每增加1000万元，给予7.5万元奖励。</w:t>
      </w:r>
    </w:p>
    <w:p>
      <w:pPr>
        <w:spacing w:line="560" w:lineRule="exact"/>
        <w:ind w:firstLine="643" w:firstLineChars="200"/>
        <w:jc w:val="left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二</w:t>
      </w:r>
      <w:r>
        <w:rPr>
          <w:rFonts w:ascii="仿宋" w:hAnsi="仿宋" w:eastAsia="仿宋" w:cs="黑体"/>
          <w:b/>
          <w:bCs/>
          <w:sz w:val="32"/>
          <w:szCs w:val="32"/>
        </w:rPr>
        <w:t>、</w:t>
      </w:r>
      <w:r>
        <w:rPr>
          <w:rFonts w:hint="eastAsia" w:ascii="仿宋" w:hAnsi="仿宋" w:eastAsia="仿宋" w:cs="黑体"/>
          <w:b/>
          <w:bCs/>
          <w:sz w:val="32"/>
          <w:szCs w:val="32"/>
        </w:rPr>
        <w:t>其他说明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以集团名义申报的，其控股（占比在50%以上，不包括50%）的市内制造业子公司按100%合并产值，产值由各镇（街道、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  <w:t>园区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）核实盖章确认，不含累计调整部分。</w:t>
      </w: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  <w:r>
        <w:rPr>
          <w:rFonts w:hint="eastAsia" w:eastAsia="仿宋"/>
          <w:sz w:val="32"/>
          <w:szCs w:val="32"/>
          <w:lang w:bidi="ar"/>
        </w:rPr>
        <w:t>本奖励政策和其他奖励政策（包括上级奖励政策和市、镇（园区）两级各类“一企一策”政策）内容有重复的，按就高不重复原则执行。</w:t>
      </w: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p>
      <w:pPr>
        <w:pStyle w:val="13"/>
        <w:spacing w:line="560" w:lineRule="exact"/>
        <w:ind w:firstLine="640" w:firstLineChars="200"/>
        <w:rPr>
          <w:rFonts w:eastAsia="仿宋"/>
          <w:sz w:val="32"/>
          <w:szCs w:val="32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4CE34B"/>
    <w:multiLevelType w:val="singleLevel"/>
    <w:tmpl w:val="854CE3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54D"/>
    <w:rsid w:val="001363A7"/>
    <w:rsid w:val="0019595D"/>
    <w:rsid w:val="001B7B1A"/>
    <w:rsid w:val="002D6835"/>
    <w:rsid w:val="003D5DD3"/>
    <w:rsid w:val="003F32E0"/>
    <w:rsid w:val="005859AF"/>
    <w:rsid w:val="006352D2"/>
    <w:rsid w:val="006B3E10"/>
    <w:rsid w:val="00703461"/>
    <w:rsid w:val="00722071"/>
    <w:rsid w:val="008118DA"/>
    <w:rsid w:val="00885E31"/>
    <w:rsid w:val="009847B7"/>
    <w:rsid w:val="009F4264"/>
    <w:rsid w:val="00A578BE"/>
    <w:rsid w:val="00B26F14"/>
    <w:rsid w:val="00B86BAA"/>
    <w:rsid w:val="00D30AA3"/>
    <w:rsid w:val="00D32072"/>
    <w:rsid w:val="00D5554D"/>
    <w:rsid w:val="00D77C20"/>
    <w:rsid w:val="00FC0DC3"/>
    <w:rsid w:val="1A7D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6"/>
    <w:link w:val="2"/>
    <w:semiHidden/>
    <w:uiPriority w:val="99"/>
  </w:style>
  <w:style w:type="character" w:customStyle="1" w:styleId="9">
    <w:name w:val="页脚 Char"/>
    <w:basedOn w:val="6"/>
    <w:link w:val="4"/>
    <w:uiPriority w:val="99"/>
    <w:rPr>
      <w:sz w:val="18"/>
      <w:szCs w:val="18"/>
    </w:rPr>
  </w:style>
  <w:style w:type="character" w:customStyle="1" w:styleId="10">
    <w:name w:val="页眉 Char"/>
    <w:basedOn w:val="6"/>
    <w:link w:val="5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3"/>
    <w:semiHidden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122</Words>
  <Characters>702</Characters>
  <Lines>5</Lines>
  <Paragraphs>1</Paragraphs>
  <TotalTime>2</TotalTime>
  <ScaleCrop>false</ScaleCrop>
  <LinksUpToDate>false</LinksUpToDate>
  <CharactersWithSpaces>823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2022-11-26T01:56:00Z</dcterms:created>
  <dc:creator>Administrator</dc:creator>
  <cp:lastModifiedBy>Administrator</cp:lastModifiedBy>
  <cp:lastPrinted>2022-11-08T00:45:00Z</cp:lastPrinted>
  <dcterms:modified xsi:type="dcterms:W3CDTF">2022-11-27T01:20:50Z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