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kinsoku/>
        <w:wordWrap/>
        <w:overflowPunct/>
        <w:topLinePunct w:val="0"/>
        <w:autoSpaceDE/>
        <w:autoSpaceDN/>
        <w:bidi w:val="0"/>
        <w:adjustRightInd/>
        <w:snapToGrid/>
        <w:spacing w:afterLines="0" w:line="560" w:lineRule="exact"/>
        <w:jc w:val="both"/>
        <w:textAlignment w:val="auto"/>
        <w:rPr>
          <w:rFonts w:hint="eastAsia" w:ascii="仿宋_GB2312" w:hAnsi="仿宋_GB2312" w:eastAsia="仿宋_GB2312" w:cs="仿宋_GB2312"/>
          <w:b w:val="0"/>
          <w:bCs w:val="0"/>
          <w:sz w:val="34"/>
          <w:szCs w:val="34"/>
          <w:lang w:val="en-US" w:eastAsia="zh-CN"/>
        </w:rPr>
      </w:pPr>
      <w:r>
        <w:rPr>
          <w:rFonts w:hint="eastAsia" w:ascii="仿宋_GB2312" w:hAnsi="仿宋_GB2312" w:eastAsia="仿宋_GB2312" w:cs="仿宋_GB2312"/>
          <w:b w:val="0"/>
          <w:bCs w:val="0"/>
          <w:sz w:val="34"/>
          <w:szCs w:val="34"/>
          <w:lang w:val="en-US" w:eastAsia="zh-CN"/>
        </w:rPr>
        <w:t>附件</w:t>
      </w:r>
      <w:r>
        <w:rPr>
          <w:rFonts w:hint="default" w:ascii="Times New Roman" w:hAnsi="Times New Roman" w:eastAsia="仿宋_GB2312" w:cs="Times New Roman"/>
          <w:b w:val="0"/>
          <w:bCs w:val="0"/>
          <w:sz w:val="34"/>
          <w:szCs w:val="34"/>
          <w:lang w:val="en-US" w:eastAsia="zh-CN"/>
        </w:rPr>
        <w:t>6</w:t>
      </w:r>
    </w:p>
    <w:p>
      <w:pPr>
        <w:pStyle w:val="4"/>
        <w:keepNext w:val="0"/>
        <w:keepLines w:val="0"/>
        <w:pageBreakBefore w:val="0"/>
        <w:widowControl w:val="0"/>
        <w:kinsoku/>
        <w:wordWrap/>
        <w:overflowPunct/>
        <w:topLinePunct w:val="0"/>
        <w:autoSpaceDE/>
        <w:autoSpaceDN/>
        <w:bidi w:val="0"/>
        <w:adjustRightInd/>
        <w:snapToGrid/>
        <w:spacing w:before="156" w:beforeLines="50" w:after="313" w:afterLines="100" w:line="560" w:lineRule="exact"/>
        <w:textAlignment w:val="auto"/>
        <w:rPr>
          <w:rFonts w:ascii="方正小标宋简体" w:hAnsi="黑体" w:eastAsia="方正小标宋简体"/>
          <w:b w:val="0"/>
          <w:bCs w:val="0"/>
          <w:sz w:val="40"/>
          <w:szCs w:val="40"/>
        </w:rPr>
      </w:pPr>
      <w:r>
        <w:rPr>
          <w:rFonts w:hint="default" w:ascii="Times New Roman" w:hAnsi="Times New Roman" w:eastAsia="方正小标宋简体" w:cs="Times New Roman"/>
          <w:b w:val="0"/>
          <w:bCs w:val="0"/>
          <w:sz w:val="40"/>
          <w:szCs w:val="40"/>
        </w:rPr>
        <w:t>202</w:t>
      </w:r>
      <w:r>
        <w:rPr>
          <w:rFonts w:hint="default" w:ascii="Times New Roman" w:hAnsi="Times New Roman" w:eastAsia="方正小标宋简体" w:cs="Times New Roman"/>
          <w:b w:val="0"/>
          <w:bCs w:val="0"/>
          <w:sz w:val="40"/>
          <w:szCs w:val="40"/>
          <w:lang w:val="en-US" w:eastAsia="zh-CN"/>
        </w:rPr>
        <w:t>3</w:t>
      </w:r>
      <w:r>
        <w:rPr>
          <w:rFonts w:hint="eastAsia" w:ascii="方正小标宋简体" w:hAnsi="黑体" w:eastAsia="方正小标宋简体"/>
          <w:b w:val="0"/>
          <w:bCs w:val="0"/>
          <w:sz w:val="40"/>
          <w:szCs w:val="40"/>
        </w:rPr>
        <w:t>年慈溪市行业资质注册和认证扶持实施细则</w:t>
      </w:r>
    </w:p>
    <w:p>
      <w:pPr>
        <w:pStyle w:val="2"/>
        <w:keepNext w:val="0"/>
        <w:keepLines w:val="0"/>
        <w:pageBreakBefore w:val="0"/>
        <w:kinsoku/>
        <w:wordWrap/>
        <w:overflowPunct/>
        <w:topLinePunct w:val="0"/>
        <w:autoSpaceDE/>
        <w:autoSpaceDN/>
        <w:bidi w:val="0"/>
        <w:adjustRightInd/>
        <w:snapToGrid/>
        <w:spacing w:line="560" w:lineRule="exact"/>
        <w:ind w:firstLine="640"/>
        <w:textAlignment w:val="auto"/>
      </w:pPr>
      <w:r>
        <w:rPr>
          <w:rFonts w:hint="eastAsia"/>
        </w:rPr>
        <w:t>一、申报对象</w:t>
      </w:r>
    </w:p>
    <w:p>
      <w:pPr>
        <w:keepNext w:val="0"/>
        <w:keepLines w:val="0"/>
        <w:pageBreakBefore w:val="0"/>
        <w:kinsoku/>
        <w:wordWrap/>
        <w:overflowPunct/>
        <w:topLinePunct w:val="0"/>
        <w:autoSpaceDE/>
        <w:autoSpaceDN/>
        <w:bidi w:val="0"/>
        <w:adjustRightInd/>
        <w:snapToGrid/>
        <w:spacing w:line="560" w:lineRule="exact"/>
        <w:ind w:firstLine="640"/>
        <w:textAlignment w:val="auto"/>
      </w:pPr>
      <w:r>
        <w:rPr>
          <w:rFonts w:hint="eastAsia"/>
        </w:rPr>
        <w:t>慈溪市本级行政区域内依法生产经营并纳税的医疗器械生产企业。</w:t>
      </w:r>
    </w:p>
    <w:p>
      <w:pPr>
        <w:pStyle w:val="2"/>
        <w:keepNext w:val="0"/>
        <w:keepLines w:val="0"/>
        <w:pageBreakBefore w:val="0"/>
        <w:kinsoku/>
        <w:wordWrap/>
        <w:overflowPunct/>
        <w:topLinePunct w:val="0"/>
        <w:autoSpaceDE/>
        <w:autoSpaceDN/>
        <w:bidi w:val="0"/>
        <w:adjustRightInd/>
        <w:snapToGrid/>
        <w:spacing w:line="560" w:lineRule="exact"/>
        <w:ind w:firstLine="640"/>
        <w:textAlignment w:val="auto"/>
      </w:pPr>
      <w:r>
        <w:rPr>
          <w:rFonts w:hint="eastAsia"/>
        </w:rPr>
        <w:t>二、奖励范围及标准</w:t>
      </w:r>
      <w:bookmarkStart w:id="0" w:name="_GoBack"/>
      <w:bookmarkEnd w:id="0"/>
    </w:p>
    <w:p>
      <w:pPr>
        <w:pStyle w:val="2"/>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Calibri" w:hAnsi="Calibri" w:eastAsia="仿宋_GB2312" w:cs="Times New Roman"/>
          <w:kern w:val="2"/>
          <w:sz w:val="32"/>
          <w:lang w:val="en-US" w:eastAsia="zh-CN" w:bidi="ar-SA"/>
        </w:rPr>
      </w:pPr>
      <w:r>
        <w:rPr>
          <w:rFonts w:hint="eastAsia" w:ascii="Calibri" w:hAnsi="Calibri" w:eastAsia="仿宋_GB2312" w:cs="Times New Roman"/>
          <w:kern w:val="2"/>
          <w:sz w:val="32"/>
          <w:lang w:val="en-US" w:eastAsia="zh-CN" w:bidi="ar-SA"/>
        </w:rPr>
        <w:t>对首次注册的第三类医疗器械产品，经临床试验和免于临床试验的分别给予每个最高</w:t>
      </w:r>
      <w:r>
        <w:rPr>
          <w:rFonts w:hint="default" w:ascii="Times New Roman" w:hAnsi="Times New Roman" w:eastAsia="仿宋_GB2312" w:cs="Times New Roman"/>
          <w:kern w:val="2"/>
          <w:sz w:val="32"/>
          <w:lang w:val="en-US" w:eastAsia="zh-CN" w:bidi="ar-SA"/>
        </w:rPr>
        <w:t>50</w:t>
      </w:r>
      <w:r>
        <w:rPr>
          <w:rFonts w:hint="eastAsia" w:ascii="Calibri" w:hAnsi="Calibri" w:eastAsia="仿宋_GB2312" w:cs="Times New Roman"/>
          <w:kern w:val="2"/>
          <w:sz w:val="32"/>
          <w:lang w:val="en-US" w:eastAsia="zh-CN" w:bidi="ar-SA"/>
        </w:rPr>
        <w:t>万元和</w:t>
      </w:r>
      <w:r>
        <w:rPr>
          <w:rFonts w:hint="default" w:ascii="Times New Roman" w:hAnsi="Times New Roman" w:eastAsia="仿宋_GB2312" w:cs="Times New Roman"/>
          <w:kern w:val="2"/>
          <w:sz w:val="32"/>
          <w:lang w:val="en-US" w:eastAsia="zh-CN" w:bidi="ar-SA"/>
        </w:rPr>
        <w:t>20</w:t>
      </w:r>
      <w:r>
        <w:rPr>
          <w:rFonts w:hint="eastAsia" w:ascii="Calibri" w:hAnsi="Calibri" w:eastAsia="仿宋_GB2312" w:cs="Times New Roman"/>
          <w:kern w:val="2"/>
          <w:sz w:val="32"/>
          <w:lang w:val="en-US" w:eastAsia="zh-CN" w:bidi="ar-SA"/>
        </w:rPr>
        <w:t>万元奖励；对首次注册的第二类医疗器械产品给予每个最高</w:t>
      </w:r>
      <w:r>
        <w:rPr>
          <w:rFonts w:hint="default" w:ascii="Times New Roman" w:hAnsi="Times New Roman" w:eastAsia="仿宋_GB2312" w:cs="Times New Roman"/>
          <w:kern w:val="2"/>
          <w:sz w:val="32"/>
          <w:lang w:val="en-US" w:eastAsia="zh-CN" w:bidi="ar-SA"/>
        </w:rPr>
        <w:t>10</w:t>
      </w:r>
      <w:r>
        <w:rPr>
          <w:rFonts w:hint="eastAsia" w:ascii="Calibri" w:hAnsi="Calibri" w:eastAsia="仿宋_GB2312" w:cs="Times New Roman"/>
          <w:kern w:val="2"/>
          <w:sz w:val="32"/>
          <w:lang w:val="en-US" w:eastAsia="zh-CN" w:bidi="ar-SA"/>
        </w:rPr>
        <w:t>万元奖励；对首次取得国内第三类和第二类医疗器械产品生产许可证企业分别给予每家最高</w:t>
      </w:r>
      <w:r>
        <w:rPr>
          <w:rFonts w:hint="default" w:ascii="Times New Roman" w:hAnsi="Times New Roman" w:eastAsia="仿宋_GB2312" w:cs="Times New Roman"/>
          <w:kern w:val="2"/>
          <w:sz w:val="32"/>
          <w:lang w:val="en-US" w:eastAsia="zh-CN" w:bidi="ar-SA"/>
        </w:rPr>
        <w:t>20</w:t>
      </w:r>
      <w:r>
        <w:rPr>
          <w:rFonts w:hint="eastAsia" w:ascii="Calibri" w:hAnsi="Calibri" w:eastAsia="仿宋_GB2312" w:cs="Times New Roman"/>
          <w:kern w:val="2"/>
          <w:sz w:val="32"/>
          <w:lang w:val="en-US" w:eastAsia="zh-CN" w:bidi="ar-SA"/>
        </w:rPr>
        <w:t>万元和</w:t>
      </w:r>
      <w:r>
        <w:rPr>
          <w:rFonts w:hint="default" w:ascii="Times New Roman" w:hAnsi="Times New Roman" w:eastAsia="仿宋_GB2312" w:cs="Times New Roman"/>
          <w:kern w:val="2"/>
          <w:sz w:val="32"/>
          <w:lang w:val="en-US" w:eastAsia="zh-CN" w:bidi="ar-SA"/>
        </w:rPr>
        <w:t>10</w:t>
      </w:r>
      <w:r>
        <w:rPr>
          <w:rFonts w:hint="eastAsia" w:ascii="Calibri" w:hAnsi="Calibri" w:eastAsia="仿宋_GB2312" w:cs="Times New Roman"/>
          <w:kern w:val="2"/>
          <w:sz w:val="32"/>
          <w:lang w:val="en-US" w:eastAsia="zh-CN" w:bidi="ar-SA"/>
        </w:rPr>
        <w:t>万元奖励；对首次获得美国 FDA 注册许可证、欧洲CE认证的第三类医疗器械产品给予每个最高</w:t>
      </w:r>
      <w:r>
        <w:rPr>
          <w:rFonts w:hint="default" w:ascii="Times New Roman" w:hAnsi="Times New Roman" w:eastAsia="仿宋_GB2312" w:cs="Times New Roman"/>
          <w:kern w:val="2"/>
          <w:sz w:val="32"/>
          <w:lang w:val="en-US" w:eastAsia="zh-CN" w:bidi="ar-SA"/>
        </w:rPr>
        <w:t>20</w:t>
      </w:r>
      <w:r>
        <w:rPr>
          <w:rFonts w:hint="eastAsia" w:ascii="Calibri" w:hAnsi="Calibri" w:eastAsia="仿宋_GB2312" w:cs="Times New Roman"/>
          <w:kern w:val="2"/>
          <w:sz w:val="32"/>
          <w:lang w:val="en-US" w:eastAsia="zh-CN" w:bidi="ar-SA"/>
        </w:rPr>
        <w:t>万元奖励，第二类医疗器械产品给予每个最高</w:t>
      </w:r>
      <w:r>
        <w:rPr>
          <w:rFonts w:hint="default" w:ascii="Times New Roman" w:hAnsi="Times New Roman" w:eastAsia="仿宋_GB2312" w:cs="Times New Roman"/>
          <w:kern w:val="2"/>
          <w:sz w:val="32"/>
          <w:lang w:val="en-US" w:eastAsia="zh-CN" w:bidi="ar-SA"/>
        </w:rPr>
        <w:t>5</w:t>
      </w:r>
      <w:r>
        <w:rPr>
          <w:rFonts w:hint="eastAsia" w:ascii="Calibri" w:hAnsi="Calibri" w:eastAsia="仿宋_GB2312" w:cs="Times New Roman"/>
          <w:kern w:val="2"/>
          <w:sz w:val="32"/>
          <w:lang w:val="en-US" w:eastAsia="zh-CN" w:bidi="ar-SA"/>
        </w:rPr>
        <w:t>万元奖励。取得资质（注册、认证）类奖励每家企业不超过</w:t>
      </w:r>
      <w:r>
        <w:rPr>
          <w:rFonts w:hint="default" w:ascii="Times New Roman" w:hAnsi="Times New Roman" w:eastAsia="仿宋_GB2312" w:cs="Times New Roman"/>
          <w:kern w:val="2"/>
          <w:sz w:val="32"/>
          <w:lang w:val="en-US" w:eastAsia="zh-CN" w:bidi="ar-SA"/>
        </w:rPr>
        <w:t>60</w:t>
      </w:r>
      <w:r>
        <w:rPr>
          <w:rFonts w:hint="eastAsia" w:ascii="Calibri" w:hAnsi="Calibri" w:eastAsia="仿宋_GB2312" w:cs="Times New Roman"/>
          <w:kern w:val="2"/>
          <w:sz w:val="32"/>
          <w:lang w:val="en-US" w:eastAsia="zh-CN" w:bidi="ar-SA"/>
        </w:rPr>
        <w:t>万元。</w:t>
      </w:r>
    </w:p>
    <w:p>
      <w:pPr>
        <w:pStyle w:val="2"/>
        <w:keepNext w:val="0"/>
        <w:keepLines w:val="0"/>
        <w:pageBreakBefore w:val="0"/>
        <w:kinsoku/>
        <w:wordWrap/>
        <w:overflowPunct/>
        <w:topLinePunct w:val="0"/>
        <w:autoSpaceDE/>
        <w:autoSpaceDN/>
        <w:bidi w:val="0"/>
        <w:adjustRightInd/>
        <w:snapToGrid/>
        <w:spacing w:line="560" w:lineRule="exact"/>
        <w:ind w:firstLine="640"/>
        <w:textAlignment w:val="auto"/>
      </w:pPr>
      <w:r>
        <w:rPr>
          <w:rFonts w:hint="eastAsia"/>
        </w:rPr>
        <w:t>三、申报资料</w:t>
      </w:r>
    </w:p>
    <w:p>
      <w:pPr>
        <w:keepNext w:val="0"/>
        <w:keepLines w:val="0"/>
        <w:pageBreakBefore w:val="0"/>
        <w:kinsoku/>
        <w:wordWrap/>
        <w:overflowPunct/>
        <w:topLinePunct w:val="0"/>
        <w:autoSpaceDE/>
        <w:autoSpaceDN/>
        <w:bidi w:val="0"/>
        <w:adjustRightInd/>
        <w:snapToGrid/>
        <w:spacing w:line="560" w:lineRule="exact"/>
        <w:ind w:firstLine="640"/>
        <w:textAlignment w:val="auto"/>
      </w:pPr>
      <w:r>
        <w:rPr>
          <w:rFonts w:ascii="仿宋_GB2312" w:hAnsi="宋体" w:cs="宋体"/>
          <w:color w:val="000000"/>
          <w:kern w:val="0"/>
          <w:szCs w:val="32"/>
        </w:rPr>
        <w:t>由市</w:t>
      </w:r>
      <w:r>
        <w:rPr>
          <w:rFonts w:hint="eastAsia"/>
        </w:rPr>
        <w:t>经信局</w:t>
      </w:r>
      <w:r>
        <w:rPr>
          <w:rFonts w:ascii="仿宋_GB2312" w:hAnsi="宋体" w:cs="宋体"/>
          <w:color w:val="000000"/>
          <w:kern w:val="0"/>
          <w:szCs w:val="32"/>
        </w:rPr>
        <w:t>发布申报通知，</w:t>
      </w:r>
      <w:r>
        <w:rPr>
          <w:rFonts w:hint="eastAsia"/>
        </w:rPr>
        <w:t>符合奖励申报条件的企业将申报材料一式两份报市经信局。需提供以下资料：</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ascii="仿宋_GB2312" w:hAnsi="宋体" w:cs="宋体"/>
          <w:color w:val="000000"/>
          <w:kern w:val="0"/>
          <w:szCs w:val="32"/>
        </w:rPr>
      </w:pPr>
      <w:r>
        <w:rPr>
          <w:rFonts w:hint="eastAsia"/>
        </w:rPr>
        <w:t>（一）</w:t>
      </w:r>
      <w:r>
        <w:rPr>
          <w:rFonts w:ascii="仿宋_GB2312" w:hAnsi="宋体" w:cs="宋体"/>
          <w:color w:val="000000"/>
          <w:kern w:val="0"/>
          <w:szCs w:val="32"/>
        </w:rPr>
        <w:t>医疗器械企业资质（注册、认证）奖励申报表</w:t>
      </w:r>
      <w:r>
        <w:rPr>
          <w:rFonts w:hint="eastAsia" w:ascii="仿宋_GB2312" w:hAnsi="宋体" w:cs="宋体"/>
          <w:color w:val="000000"/>
          <w:kern w:val="0"/>
          <w:szCs w:val="32"/>
        </w:rPr>
        <w:t>（附表）；</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ascii="仿宋_GB2312" w:hAnsi="宋体" w:cs="宋体"/>
          <w:color w:val="000000"/>
          <w:kern w:val="0"/>
          <w:szCs w:val="32"/>
        </w:rPr>
      </w:pPr>
      <w:r>
        <w:rPr>
          <w:rFonts w:hint="eastAsia" w:ascii="仿宋_GB2312" w:hAnsi="宋体" w:cs="宋体"/>
          <w:color w:val="000000"/>
          <w:kern w:val="0"/>
          <w:szCs w:val="32"/>
        </w:rPr>
        <w:t>（二）</w:t>
      </w:r>
      <w:r>
        <w:rPr>
          <w:rFonts w:ascii="仿宋_GB2312" w:hAnsi="宋体" w:cs="宋体"/>
          <w:color w:val="000000"/>
          <w:kern w:val="0"/>
          <w:szCs w:val="32"/>
        </w:rPr>
        <w:t>医疗器械企业</w:t>
      </w:r>
      <w:r>
        <w:rPr>
          <w:rFonts w:hint="eastAsia" w:ascii="仿宋_GB2312" w:hAnsi="宋体" w:cs="宋体"/>
          <w:color w:val="000000"/>
          <w:kern w:val="0"/>
          <w:szCs w:val="32"/>
        </w:rPr>
        <w:t>当年</w:t>
      </w:r>
      <w:r>
        <w:rPr>
          <w:rFonts w:ascii="仿宋_GB2312" w:hAnsi="宋体" w:cs="宋体"/>
          <w:color w:val="000000"/>
          <w:kern w:val="0"/>
          <w:szCs w:val="32"/>
        </w:rPr>
        <w:t>获得资质（注册、认证）证书复印件</w:t>
      </w:r>
      <w:r>
        <w:rPr>
          <w:rFonts w:hint="eastAsia" w:ascii="仿宋_GB2312" w:hAnsi="宋体" w:cs="宋体"/>
          <w:color w:val="000000"/>
          <w:kern w:val="0"/>
          <w:szCs w:val="32"/>
        </w:rPr>
        <w:t>；</w:t>
      </w:r>
    </w:p>
    <w:p>
      <w:pPr>
        <w:keepNext w:val="0"/>
        <w:keepLines w:val="0"/>
        <w:pageBreakBefore w:val="0"/>
        <w:kinsoku/>
        <w:wordWrap/>
        <w:overflowPunct/>
        <w:topLinePunct w:val="0"/>
        <w:autoSpaceDE/>
        <w:autoSpaceDN/>
        <w:bidi w:val="0"/>
        <w:adjustRightInd/>
        <w:snapToGrid/>
        <w:spacing w:line="560" w:lineRule="exact"/>
        <w:ind w:firstLine="640"/>
        <w:textAlignment w:val="auto"/>
      </w:pPr>
      <w:r>
        <w:rPr>
          <w:rFonts w:hint="eastAsia" w:ascii="仿宋_GB2312" w:hAnsi="宋体" w:cs="宋体"/>
          <w:color w:val="000000"/>
          <w:kern w:val="0"/>
          <w:szCs w:val="32"/>
        </w:rPr>
        <w:t>（三）</w:t>
      </w:r>
      <w:r>
        <w:rPr>
          <w:rFonts w:hint="eastAsia"/>
        </w:rPr>
        <w:t>首次注册的第三类医疗器械产品，经临床试验的需提供相应证明；</w:t>
      </w:r>
    </w:p>
    <w:p>
      <w:pPr>
        <w:keepNext w:val="0"/>
        <w:keepLines w:val="0"/>
        <w:pageBreakBefore w:val="0"/>
        <w:kinsoku/>
        <w:wordWrap/>
        <w:overflowPunct/>
        <w:topLinePunct w:val="0"/>
        <w:autoSpaceDE/>
        <w:autoSpaceDN/>
        <w:bidi w:val="0"/>
        <w:adjustRightInd/>
        <w:snapToGrid/>
        <w:spacing w:line="560" w:lineRule="exact"/>
        <w:ind w:firstLine="640"/>
        <w:textAlignment w:val="auto"/>
      </w:pPr>
      <w:r>
        <w:rPr>
          <w:rFonts w:hint="eastAsia" w:ascii="仿宋_GB2312" w:hAnsi="宋体" w:cs="宋体"/>
          <w:color w:val="000000"/>
          <w:kern w:val="0"/>
          <w:szCs w:val="32"/>
        </w:rPr>
        <w:t>（四）</w:t>
      </w:r>
      <w:r>
        <w:rPr>
          <w:rFonts w:hint="eastAsia"/>
        </w:rPr>
        <w:t>国际权威认证证书上医疗器械产品名称需翻译成中文名，并注明产品在最新版《医疗器械分类目录》中的分类代码（如：一次性医用口罩，</w:t>
      </w:r>
      <w:r>
        <w:rPr>
          <w:rFonts w:hint="default" w:ascii="Times New Roman" w:hAnsi="Times New Roman" w:cs="Times New Roman"/>
        </w:rPr>
        <w:t>14</w:t>
      </w:r>
      <w:r>
        <w:rPr>
          <w:rFonts w:hint="eastAsia"/>
        </w:rPr>
        <w:t>-</w:t>
      </w:r>
      <w:r>
        <w:rPr>
          <w:rFonts w:hint="default" w:ascii="Times New Roman" w:hAnsi="Times New Roman" w:cs="Times New Roman"/>
        </w:rPr>
        <w:t>13</w:t>
      </w:r>
      <w:r>
        <w:rPr>
          <w:rFonts w:hint="eastAsia"/>
        </w:rPr>
        <w:t>-</w:t>
      </w:r>
      <w:r>
        <w:rPr>
          <w:rFonts w:hint="default" w:ascii="Times New Roman" w:hAnsi="Times New Roman" w:cs="Times New Roman"/>
        </w:rPr>
        <w:t>01</w:t>
      </w:r>
      <w:r>
        <w:rPr>
          <w:rFonts w:hint="eastAsia"/>
        </w:rPr>
        <w:t>）。</w:t>
      </w:r>
    </w:p>
    <w:p>
      <w:pPr>
        <w:keepNext w:val="0"/>
        <w:keepLines w:val="0"/>
        <w:pageBreakBefore w:val="0"/>
        <w:kinsoku/>
        <w:wordWrap/>
        <w:overflowPunct/>
        <w:topLinePunct w:val="0"/>
        <w:autoSpaceDE/>
        <w:autoSpaceDN/>
        <w:bidi w:val="0"/>
        <w:adjustRightInd/>
        <w:snapToGrid/>
        <w:spacing w:line="560" w:lineRule="exact"/>
        <w:ind w:firstLine="640"/>
        <w:textAlignment w:val="auto"/>
      </w:pPr>
      <w:r>
        <w:rPr>
          <w:rFonts w:hint="eastAsia" w:ascii="仿宋_GB2312" w:hAnsi="宋体" w:cs="宋体"/>
          <w:color w:val="000000"/>
          <w:kern w:val="0"/>
          <w:szCs w:val="32"/>
        </w:rPr>
        <w:t>所有资料</w:t>
      </w:r>
      <w:r>
        <w:rPr>
          <w:rFonts w:ascii="仿宋_GB2312" w:hAnsi="宋体" w:cs="宋体"/>
          <w:color w:val="000000"/>
          <w:kern w:val="0"/>
          <w:szCs w:val="32"/>
        </w:rPr>
        <w:t>需</w:t>
      </w:r>
      <w:r>
        <w:rPr>
          <w:rFonts w:hint="eastAsia" w:ascii="仿宋_GB2312" w:hAnsi="宋体" w:cs="宋体"/>
          <w:color w:val="000000"/>
          <w:kern w:val="0"/>
          <w:szCs w:val="32"/>
        </w:rPr>
        <w:t>加盖公章，复印件需</w:t>
      </w:r>
      <w:r>
        <w:rPr>
          <w:rFonts w:ascii="仿宋_GB2312" w:hAnsi="宋体" w:cs="宋体"/>
          <w:color w:val="000000"/>
          <w:kern w:val="0"/>
          <w:szCs w:val="32"/>
        </w:rPr>
        <w:t>提供原件进行审核</w:t>
      </w:r>
      <w:r>
        <w:rPr>
          <w:rFonts w:hint="eastAsia" w:ascii="仿宋_GB2312" w:hAnsi="宋体" w:cs="宋体"/>
          <w:color w:val="000000"/>
          <w:kern w:val="0"/>
          <w:szCs w:val="32"/>
        </w:rPr>
        <w:t>。</w:t>
      </w:r>
    </w:p>
    <w:p>
      <w:pPr>
        <w:pStyle w:val="2"/>
        <w:keepNext w:val="0"/>
        <w:keepLines w:val="0"/>
        <w:pageBreakBefore w:val="0"/>
        <w:kinsoku/>
        <w:wordWrap/>
        <w:overflowPunct/>
        <w:topLinePunct w:val="0"/>
        <w:autoSpaceDE/>
        <w:autoSpaceDN/>
        <w:bidi w:val="0"/>
        <w:adjustRightInd/>
        <w:snapToGrid/>
        <w:spacing w:line="560" w:lineRule="exact"/>
        <w:ind w:firstLine="640"/>
        <w:textAlignment w:val="auto"/>
        <w:rPr>
          <w:szCs w:val="22"/>
        </w:rPr>
      </w:pPr>
      <w:r>
        <w:rPr>
          <w:rFonts w:hint="eastAsia"/>
          <w:szCs w:val="22"/>
        </w:rPr>
        <w:t>四、其他</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szCs w:val="22"/>
        </w:rPr>
      </w:pPr>
      <w:r>
        <w:rPr>
          <w:rFonts w:hint="default" w:ascii="Times New Roman" w:hAnsi="Times New Roman" w:cs="Times New Roman"/>
          <w:szCs w:val="22"/>
          <w:lang w:val="en-US" w:eastAsia="zh-CN"/>
        </w:rPr>
        <w:t>1</w:t>
      </w:r>
      <w:r>
        <w:rPr>
          <w:rFonts w:hint="eastAsia"/>
          <w:szCs w:val="22"/>
          <w:lang w:val="en-US" w:eastAsia="zh-CN"/>
        </w:rPr>
        <w:t>.</w:t>
      </w:r>
      <w:r>
        <w:rPr>
          <w:rFonts w:hint="eastAsia"/>
          <w:szCs w:val="22"/>
        </w:rPr>
        <w:t>医疗器械生产企业首次取得的</w:t>
      </w:r>
      <w:r>
        <w:rPr>
          <w:rFonts w:hint="eastAsia" w:ascii="仿宋_GB2312"/>
          <w:szCs w:val="22"/>
        </w:rPr>
        <w:t>注</w:t>
      </w:r>
      <w:r>
        <w:rPr>
          <w:rFonts w:hint="eastAsia"/>
          <w:szCs w:val="22"/>
        </w:rPr>
        <w:t>册、生产许可证和认证奖励</w:t>
      </w:r>
      <w:r>
        <w:rPr>
          <w:rFonts w:hint="eastAsia"/>
          <w:szCs w:val="22"/>
          <w:lang w:val="en-US" w:eastAsia="zh-CN"/>
        </w:rPr>
        <w:t>范围</w:t>
      </w:r>
      <w:r>
        <w:rPr>
          <w:rFonts w:hint="eastAsia" w:ascii="仿宋_GB2312"/>
          <w:szCs w:val="22"/>
        </w:rPr>
        <w:t>为正式证书，不包括</w:t>
      </w:r>
      <w:r>
        <w:rPr>
          <w:rFonts w:hint="eastAsia"/>
          <w:szCs w:val="22"/>
        </w:rPr>
        <w:t>应急注册证书。</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cs="Times New Roman"/>
          <w:szCs w:val="22"/>
        </w:rPr>
      </w:pPr>
      <w:r>
        <w:rPr>
          <w:rFonts w:hint="default" w:ascii="Times New Roman" w:hAnsi="Times New Roman" w:cs="Times New Roman"/>
          <w:szCs w:val="22"/>
          <w:lang w:val="en-US" w:eastAsia="zh-CN"/>
        </w:rPr>
        <w:t>2</w:t>
      </w:r>
      <w:r>
        <w:rPr>
          <w:rFonts w:hint="eastAsia" w:cs="Times New Roman"/>
          <w:szCs w:val="22"/>
          <w:lang w:val="en-US" w:eastAsia="zh-CN"/>
        </w:rPr>
        <w:t>.国家规定的同种产品不重复奖励。</w:t>
      </w:r>
      <w:r>
        <w:rPr>
          <w:rFonts w:hint="eastAsia" w:cs="Times New Roman"/>
          <w:szCs w:val="22"/>
        </w:rPr>
        <w:t xml:space="preserve"> </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ascii="仿宋_GB2312"/>
          <w:szCs w:val="22"/>
        </w:rPr>
      </w:pPr>
    </w:p>
    <w:p>
      <w:pPr>
        <w:keepNext w:val="0"/>
        <w:keepLines w:val="0"/>
        <w:pageBreakBefore w:val="0"/>
        <w:kinsoku/>
        <w:wordWrap/>
        <w:overflowPunct/>
        <w:topLinePunct w:val="0"/>
        <w:autoSpaceDE/>
        <w:autoSpaceDN/>
        <w:bidi w:val="0"/>
        <w:adjustRightInd/>
        <w:snapToGrid/>
        <w:spacing w:line="560" w:lineRule="exact"/>
        <w:ind w:firstLine="640"/>
        <w:textAlignment w:val="auto"/>
        <w:rPr>
          <w:rFonts w:ascii="仿宋_GB2312"/>
          <w:szCs w:val="22"/>
        </w:rPr>
      </w:pPr>
      <w:r>
        <w:rPr>
          <w:rFonts w:hint="eastAsia"/>
        </w:rPr>
        <w:t>附表：</w:t>
      </w:r>
      <w:r>
        <w:rPr>
          <w:rFonts w:ascii="仿宋_GB2312"/>
          <w:szCs w:val="22"/>
        </w:rPr>
        <w:t>医疗器械</w:t>
      </w:r>
      <w:r>
        <w:rPr>
          <w:rFonts w:hint="eastAsia" w:ascii="仿宋_GB2312"/>
          <w:szCs w:val="22"/>
        </w:rPr>
        <w:t>生产</w:t>
      </w:r>
      <w:r>
        <w:rPr>
          <w:rFonts w:ascii="仿宋_GB2312"/>
          <w:szCs w:val="22"/>
        </w:rPr>
        <w:t>企业资质（注册、认证）奖励申报表</w:t>
      </w:r>
      <w:r>
        <w:rPr>
          <w:rFonts w:ascii="仿宋_GB2312"/>
          <w:szCs w:val="22"/>
        </w:rPr>
        <w:br w:type="page"/>
      </w:r>
    </w:p>
    <w:p>
      <w:pPr>
        <w:spacing w:line="500" w:lineRule="exact"/>
        <w:ind w:firstLine="0" w:firstLineChars="0"/>
        <w:rPr>
          <w:szCs w:val="32"/>
        </w:rPr>
      </w:pPr>
      <w:r>
        <w:rPr>
          <w:rFonts w:hint="eastAsia"/>
          <w:szCs w:val="32"/>
        </w:rPr>
        <w:t>附表：</w:t>
      </w:r>
    </w:p>
    <w:p>
      <w:pPr>
        <w:spacing w:before="156" w:beforeLines="50" w:after="156" w:afterLines="50" w:line="500" w:lineRule="exact"/>
        <w:ind w:firstLine="0" w:firstLineChars="0"/>
        <w:jc w:val="center"/>
        <w:rPr>
          <w:sz w:val="28"/>
          <w:szCs w:val="28"/>
        </w:rPr>
      </w:pPr>
      <w:r>
        <w:rPr>
          <w:rFonts w:hint="eastAsia" w:ascii="黑体" w:hAnsi="黑体" w:eastAsia="黑体" w:cs="宋体"/>
          <w:bCs/>
          <w:sz w:val="36"/>
          <w:szCs w:val="36"/>
        </w:rPr>
        <w:t>医疗器械生产企业</w:t>
      </w:r>
      <w:r>
        <w:rPr>
          <w:rFonts w:hint="eastAsia" w:ascii="黑体" w:hAnsi="黑体" w:eastAsia="黑体" w:cs="宋体"/>
          <w:bCs/>
          <w:kern w:val="0"/>
          <w:sz w:val="36"/>
          <w:szCs w:val="36"/>
          <w:lang w:bidi="ar"/>
        </w:rPr>
        <w:t>资质（注册、认证）奖励</w:t>
      </w:r>
      <w:r>
        <w:rPr>
          <w:rFonts w:hint="eastAsia" w:ascii="黑体" w:hAnsi="黑体" w:eastAsia="黑体" w:cs="宋体"/>
          <w:bCs/>
          <w:sz w:val="36"/>
          <w:szCs w:val="36"/>
        </w:rPr>
        <w:t>申报表</w:t>
      </w:r>
    </w:p>
    <w:tbl>
      <w:tblPr>
        <w:tblStyle w:val="5"/>
        <w:tblW w:w="93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9"/>
        <w:gridCol w:w="2189"/>
        <w:gridCol w:w="1185"/>
        <w:gridCol w:w="1016"/>
        <w:gridCol w:w="474"/>
        <w:gridCol w:w="1026"/>
        <w:gridCol w:w="264"/>
        <w:gridCol w:w="1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exact"/>
          <w:jc w:val="center"/>
        </w:trPr>
        <w:tc>
          <w:tcPr>
            <w:tcW w:w="162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r>
              <w:rPr>
                <w:rFonts w:hint="eastAsia" w:ascii="仿宋_GB2312" w:hAnsi="宋体"/>
                <w:sz w:val="24"/>
                <w:szCs w:val="24"/>
              </w:rPr>
              <w:t>企业名称</w:t>
            </w:r>
          </w:p>
        </w:tc>
        <w:tc>
          <w:tcPr>
            <w:tcW w:w="4864"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400" w:firstLine="480"/>
              <w:jc w:val="right"/>
              <w:textAlignment w:val="auto"/>
              <w:rPr>
                <w:rFonts w:hint="eastAsia" w:ascii="仿宋_GB2312" w:hAnsi="宋体"/>
                <w:sz w:val="24"/>
                <w:szCs w:val="24"/>
              </w:rPr>
            </w:pPr>
            <w:r>
              <w:rPr>
                <w:rFonts w:hint="eastAsia" w:ascii="仿宋_GB2312" w:hAnsi="宋体"/>
                <w:sz w:val="24"/>
                <w:szCs w:val="24"/>
              </w:rPr>
              <w:t>（盖章）</w:t>
            </w:r>
          </w:p>
        </w:tc>
        <w:tc>
          <w:tcPr>
            <w:tcW w:w="1290"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r>
              <w:rPr>
                <w:rFonts w:hint="eastAsia" w:ascii="仿宋_GB2312" w:hAnsi="宋体"/>
                <w:sz w:val="24"/>
                <w:szCs w:val="24"/>
              </w:rPr>
              <w:t>统一社会信用代码</w:t>
            </w:r>
          </w:p>
        </w:tc>
        <w:tc>
          <w:tcPr>
            <w:tcW w:w="152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right="400" w:firstLine="0" w:firstLineChars="0"/>
              <w:textAlignment w:val="auto"/>
              <w:rPr>
                <w:rFonts w:hint="eastAsia" w:ascii="仿宋_GB2312"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exact"/>
          <w:jc w:val="center"/>
        </w:trPr>
        <w:tc>
          <w:tcPr>
            <w:tcW w:w="162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r>
              <w:rPr>
                <w:rFonts w:hint="eastAsia" w:ascii="仿宋_GB2312" w:hAnsi="宋体"/>
                <w:sz w:val="24"/>
                <w:szCs w:val="24"/>
              </w:rPr>
              <w:t>法定代表人</w:t>
            </w:r>
          </w:p>
        </w:tc>
        <w:tc>
          <w:tcPr>
            <w:tcW w:w="218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p>
        </w:tc>
        <w:tc>
          <w:tcPr>
            <w:tcW w:w="118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仿宋_GB2312" w:hAnsi="宋体" w:eastAsia="仿宋_GB2312"/>
                <w:sz w:val="24"/>
                <w:szCs w:val="24"/>
                <w:lang w:val="en-US" w:eastAsia="zh-CN"/>
              </w:rPr>
            </w:pPr>
            <w:r>
              <w:rPr>
                <w:rFonts w:hint="eastAsia" w:ascii="仿宋_GB2312" w:hAnsi="宋体"/>
                <w:sz w:val="24"/>
                <w:szCs w:val="24"/>
                <w:lang w:eastAsia="zh-CN"/>
              </w:rPr>
              <w:t>手机</w:t>
            </w:r>
          </w:p>
        </w:tc>
        <w:tc>
          <w:tcPr>
            <w:tcW w:w="1490"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p>
        </w:tc>
        <w:tc>
          <w:tcPr>
            <w:tcW w:w="1290"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eastAsia="仿宋_GB2312"/>
                <w:sz w:val="24"/>
                <w:szCs w:val="24"/>
                <w:lang w:eastAsia="zh-CN"/>
              </w:rPr>
            </w:pPr>
            <w:r>
              <w:rPr>
                <w:rFonts w:hint="eastAsia" w:ascii="仿宋_GB2312" w:hAnsi="宋体"/>
                <w:sz w:val="24"/>
                <w:szCs w:val="24"/>
                <w:lang w:eastAsia="zh-CN"/>
              </w:rPr>
              <w:t>身份证号码</w:t>
            </w:r>
          </w:p>
        </w:tc>
        <w:tc>
          <w:tcPr>
            <w:tcW w:w="152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exact"/>
          <w:jc w:val="center"/>
        </w:trPr>
        <w:tc>
          <w:tcPr>
            <w:tcW w:w="1629" w:type="dxa"/>
            <w:vAlign w:val="center"/>
          </w:tcPr>
          <w:p>
            <w:pPr>
              <w:keepNext w:val="0"/>
              <w:keepLines w:val="0"/>
              <w:pageBreakBefore w:val="0"/>
              <w:widowControl w:val="0"/>
              <w:tabs>
                <w:tab w:val="center" w:pos="4153"/>
                <w:tab w:val="right" w:pos="8306"/>
              </w:tabs>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r>
              <w:rPr>
                <w:rFonts w:hint="eastAsia" w:ascii="仿宋_GB2312" w:hAnsi="宋体"/>
                <w:sz w:val="24"/>
                <w:szCs w:val="24"/>
              </w:rPr>
              <w:t>联系人</w:t>
            </w:r>
          </w:p>
        </w:tc>
        <w:tc>
          <w:tcPr>
            <w:tcW w:w="218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p>
        </w:tc>
        <w:tc>
          <w:tcPr>
            <w:tcW w:w="118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r>
              <w:rPr>
                <w:rFonts w:hint="eastAsia" w:ascii="仿宋_GB2312" w:hAnsi="宋体"/>
                <w:sz w:val="24"/>
                <w:szCs w:val="24"/>
              </w:rPr>
              <w:t>电话</w:t>
            </w:r>
          </w:p>
        </w:tc>
        <w:tc>
          <w:tcPr>
            <w:tcW w:w="1490"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p>
        </w:tc>
        <w:tc>
          <w:tcPr>
            <w:tcW w:w="1290"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r>
              <w:rPr>
                <w:rFonts w:hint="eastAsia" w:ascii="仿宋_GB2312" w:hAnsi="宋体"/>
                <w:sz w:val="24"/>
                <w:szCs w:val="24"/>
              </w:rPr>
              <w:t>手机</w:t>
            </w:r>
          </w:p>
        </w:tc>
        <w:tc>
          <w:tcPr>
            <w:tcW w:w="152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exact"/>
          <w:jc w:val="center"/>
        </w:trPr>
        <w:tc>
          <w:tcPr>
            <w:tcW w:w="1629" w:type="dxa"/>
            <w:vAlign w:val="center"/>
          </w:tcPr>
          <w:p>
            <w:pPr>
              <w:keepNext w:val="0"/>
              <w:keepLines w:val="0"/>
              <w:pageBreakBefore w:val="0"/>
              <w:widowControl w:val="0"/>
              <w:tabs>
                <w:tab w:val="center" w:pos="4153"/>
                <w:tab w:val="right" w:pos="8306"/>
              </w:tabs>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r>
              <w:rPr>
                <w:rFonts w:hint="eastAsia" w:ascii="仿宋_GB2312" w:hAnsi="宋体"/>
                <w:sz w:val="24"/>
                <w:szCs w:val="24"/>
              </w:rPr>
              <w:t>开户银行</w:t>
            </w:r>
          </w:p>
        </w:tc>
        <w:tc>
          <w:tcPr>
            <w:tcW w:w="218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p>
        </w:tc>
        <w:tc>
          <w:tcPr>
            <w:tcW w:w="2201"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r>
              <w:rPr>
                <w:rFonts w:hint="eastAsia" w:ascii="仿宋_GB2312" w:hAnsi="宋体"/>
                <w:sz w:val="24"/>
                <w:szCs w:val="24"/>
              </w:rPr>
              <w:t>账   号</w:t>
            </w:r>
          </w:p>
        </w:tc>
        <w:tc>
          <w:tcPr>
            <w:tcW w:w="3289"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exact"/>
          <w:jc w:val="center"/>
        </w:trPr>
        <w:tc>
          <w:tcPr>
            <w:tcW w:w="1629" w:type="dxa"/>
            <w:vMerge w:val="restart"/>
            <w:vAlign w:val="center"/>
          </w:tcPr>
          <w:p>
            <w:pPr>
              <w:keepNext w:val="0"/>
              <w:keepLines w:val="0"/>
              <w:pageBreakBefore w:val="0"/>
              <w:widowControl w:val="0"/>
              <w:tabs>
                <w:tab w:val="center" w:pos="4153"/>
                <w:tab w:val="right" w:pos="8306"/>
              </w:tabs>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r>
              <w:rPr>
                <w:rFonts w:hint="eastAsia" w:ascii="仿宋_GB2312" w:hAnsi="宋体"/>
                <w:sz w:val="24"/>
                <w:szCs w:val="24"/>
              </w:rPr>
              <w:t>首次获得的注册和认证</w:t>
            </w:r>
          </w:p>
        </w:tc>
        <w:tc>
          <w:tcPr>
            <w:tcW w:w="218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r>
              <w:rPr>
                <w:rFonts w:hint="eastAsia" w:ascii="仿宋_GB2312" w:hAnsi="宋体"/>
                <w:sz w:val="24"/>
                <w:szCs w:val="24"/>
              </w:rPr>
              <w:t>证书名称</w:t>
            </w:r>
          </w:p>
        </w:tc>
        <w:tc>
          <w:tcPr>
            <w:tcW w:w="2201"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r>
              <w:rPr>
                <w:rFonts w:hint="eastAsia" w:ascii="仿宋_GB2312" w:hAnsi="宋体"/>
                <w:sz w:val="24"/>
                <w:szCs w:val="24"/>
              </w:rPr>
              <w:t>编   号</w:t>
            </w:r>
          </w:p>
        </w:tc>
        <w:tc>
          <w:tcPr>
            <w:tcW w:w="1500"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r>
              <w:rPr>
                <w:rFonts w:hint="eastAsia" w:ascii="仿宋_GB2312" w:hAnsi="宋体"/>
                <w:sz w:val="24"/>
                <w:szCs w:val="24"/>
              </w:rPr>
              <w:t>获得日期</w:t>
            </w:r>
          </w:p>
        </w:tc>
        <w:tc>
          <w:tcPr>
            <w:tcW w:w="1789"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r>
              <w:rPr>
                <w:rFonts w:hint="eastAsia" w:ascii="仿宋_GB2312" w:hAnsi="宋体"/>
                <w:sz w:val="24"/>
                <w:szCs w:val="24"/>
              </w:rPr>
              <w:t>申报奖励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exact"/>
          <w:jc w:val="center"/>
        </w:trPr>
        <w:tc>
          <w:tcPr>
            <w:tcW w:w="1629" w:type="dxa"/>
            <w:vMerge w:val="continue"/>
            <w:vAlign w:val="center"/>
          </w:tcPr>
          <w:p>
            <w:pPr>
              <w:keepNext w:val="0"/>
              <w:keepLines w:val="0"/>
              <w:pageBreakBefore w:val="0"/>
              <w:widowControl w:val="0"/>
              <w:tabs>
                <w:tab w:val="center" w:pos="4153"/>
                <w:tab w:val="right" w:pos="8306"/>
              </w:tabs>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cs="仿宋_GB2312"/>
                <w:bCs/>
                <w:color w:val="000000"/>
                <w:sz w:val="24"/>
                <w:szCs w:val="24"/>
              </w:rPr>
            </w:pPr>
          </w:p>
        </w:tc>
        <w:tc>
          <w:tcPr>
            <w:tcW w:w="218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p>
        </w:tc>
        <w:tc>
          <w:tcPr>
            <w:tcW w:w="2201"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p>
        </w:tc>
        <w:tc>
          <w:tcPr>
            <w:tcW w:w="1500"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p>
        </w:tc>
        <w:tc>
          <w:tcPr>
            <w:tcW w:w="1789"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exact"/>
          <w:jc w:val="center"/>
        </w:trPr>
        <w:tc>
          <w:tcPr>
            <w:tcW w:w="1629" w:type="dxa"/>
            <w:vMerge w:val="continue"/>
            <w:vAlign w:val="center"/>
          </w:tcPr>
          <w:p>
            <w:pPr>
              <w:keepNext w:val="0"/>
              <w:keepLines w:val="0"/>
              <w:pageBreakBefore w:val="0"/>
              <w:widowControl w:val="0"/>
              <w:tabs>
                <w:tab w:val="center" w:pos="4153"/>
                <w:tab w:val="right" w:pos="8306"/>
              </w:tabs>
              <w:kinsoku/>
              <w:wordWrap/>
              <w:overflowPunct/>
              <w:topLinePunct w:val="0"/>
              <w:autoSpaceDE/>
              <w:autoSpaceDN/>
              <w:bidi w:val="0"/>
              <w:adjustRightInd w:val="0"/>
              <w:snapToGrid w:val="0"/>
              <w:spacing w:line="240" w:lineRule="auto"/>
              <w:ind w:firstLine="0" w:firstLineChars="0"/>
              <w:textAlignment w:val="auto"/>
              <w:rPr>
                <w:rFonts w:hint="eastAsia" w:ascii="仿宋_GB2312" w:hAnsi="仿宋_GB2312" w:cs="仿宋_GB2312"/>
                <w:bCs/>
                <w:color w:val="000000"/>
                <w:sz w:val="24"/>
                <w:szCs w:val="24"/>
              </w:rPr>
            </w:pPr>
          </w:p>
        </w:tc>
        <w:tc>
          <w:tcPr>
            <w:tcW w:w="218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p>
        </w:tc>
        <w:tc>
          <w:tcPr>
            <w:tcW w:w="2201"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p>
        </w:tc>
        <w:tc>
          <w:tcPr>
            <w:tcW w:w="1500"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p>
        </w:tc>
        <w:tc>
          <w:tcPr>
            <w:tcW w:w="1789"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exact"/>
          <w:jc w:val="center"/>
        </w:trPr>
        <w:tc>
          <w:tcPr>
            <w:tcW w:w="1629" w:type="dxa"/>
            <w:vMerge w:val="continue"/>
            <w:vAlign w:val="center"/>
          </w:tcPr>
          <w:p>
            <w:pPr>
              <w:keepNext w:val="0"/>
              <w:keepLines w:val="0"/>
              <w:pageBreakBefore w:val="0"/>
              <w:widowControl w:val="0"/>
              <w:tabs>
                <w:tab w:val="center" w:pos="4153"/>
                <w:tab w:val="right" w:pos="8306"/>
              </w:tabs>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cs="仿宋_GB2312"/>
                <w:bCs/>
                <w:color w:val="000000"/>
                <w:sz w:val="24"/>
                <w:szCs w:val="24"/>
              </w:rPr>
            </w:pPr>
          </w:p>
        </w:tc>
        <w:tc>
          <w:tcPr>
            <w:tcW w:w="218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p>
        </w:tc>
        <w:tc>
          <w:tcPr>
            <w:tcW w:w="2201"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p>
        </w:tc>
        <w:tc>
          <w:tcPr>
            <w:tcW w:w="1500"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p>
        </w:tc>
        <w:tc>
          <w:tcPr>
            <w:tcW w:w="1789"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exact"/>
          <w:jc w:val="center"/>
        </w:trPr>
        <w:tc>
          <w:tcPr>
            <w:tcW w:w="1629" w:type="dxa"/>
            <w:vMerge w:val="continue"/>
            <w:vAlign w:val="center"/>
          </w:tcPr>
          <w:p>
            <w:pPr>
              <w:keepNext w:val="0"/>
              <w:keepLines w:val="0"/>
              <w:pageBreakBefore w:val="0"/>
              <w:widowControl w:val="0"/>
              <w:tabs>
                <w:tab w:val="center" w:pos="4153"/>
                <w:tab w:val="right" w:pos="8306"/>
              </w:tabs>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cs="仿宋_GB2312"/>
                <w:bCs/>
                <w:color w:val="000000"/>
                <w:sz w:val="24"/>
                <w:szCs w:val="24"/>
              </w:rPr>
            </w:pPr>
          </w:p>
        </w:tc>
        <w:tc>
          <w:tcPr>
            <w:tcW w:w="218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p>
        </w:tc>
        <w:tc>
          <w:tcPr>
            <w:tcW w:w="2201"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p>
        </w:tc>
        <w:tc>
          <w:tcPr>
            <w:tcW w:w="1500"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p>
        </w:tc>
        <w:tc>
          <w:tcPr>
            <w:tcW w:w="1789"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exact"/>
          <w:jc w:val="center"/>
        </w:trPr>
        <w:tc>
          <w:tcPr>
            <w:tcW w:w="1629" w:type="dxa"/>
            <w:vMerge w:val="continue"/>
            <w:vAlign w:val="center"/>
          </w:tcPr>
          <w:p>
            <w:pPr>
              <w:keepNext w:val="0"/>
              <w:keepLines w:val="0"/>
              <w:pageBreakBefore w:val="0"/>
              <w:widowControl w:val="0"/>
              <w:tabs>
                <w:tab w:val="center" w:pos="4153"/>
                <w:tab w:val="right" w:pos="8306"/>
              </w:tabs>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cs="仿宋_GB2312"/>
                <w:bCs/>
                <w:color w:val="000000"/>
                <w:sz w:val="24"/>
                <w:szCs w:val="24"/>
              </w:rPr>
            </w:pPr>
          </w:p>
        </w:tc>
        <w:tc>
          <w:tcPr>
            <w:tcW w:w="218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p>
        </w:tc>
        <w:tc>
          <w:tcPr>
            <w:tcW w:w="2201"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p>
        </w:tc>
        <w:tc>
          <w:tcPr>
            <w:tcW w:w="1500"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p>
        </w:tc>
        <w:tc>
          <w:tcPr>
            <w:tcW w:w="1789"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exact"/>
          <w:jc w:val="center"/>
        </w:trPr>
        <w:tc>
          <w:tcPr>
            <w:tcW w:w="1629" w:type="dxa"/>
            <w:vMerge w:val="continue"/>
            <w:vAlign w:val="center"/>
          </w:tcPr>
          <w:p>
            <w:pPr>
              <w:keepNext w:val="0"/>
              <w:keepLines w:val="0"/>
              <w:pageBreakBefore w:val="0"/>
              <w:widowControl w:val="0"/>
              <w:tabs>
                <w:tab w:val="center" w:pos="4153"/>
                <w:tab w:val="right" w:pos="8306"/>
              </w:tabs>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仿宋_GB2312" w:cs="仿宋_GB2312"/>
                <w:bCs/>
                <w:color w:val="000000"/>
                <w:sz w:val="24"/>
                <w:szCs w:val="24"/>
              </w:rPr>
            </w:pPr>
          </w:p>
        </w:tc>
        <w:tc>
          <w:tcPr>
            <w:tcW w:w="218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p>
        </w:tc>
        <w:tc>
          <w:tcPr>
            <w:tcW w:w="2201"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p>
        </w:tc>
        <w:tc>
          <w:tcPr>
            <w:tcW w:w="1500"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p>
        </w:tc>
        <w:tc>
          <w:tcPr>
            <w:tcW w:w="1789"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exact"/>
          <w:jc w:val="center"/>
        </w:trPr>
        <w:tc>
          <w:tcPr>
            <w:tcW w:w="7519" w:type="dxa"/>
            <w:gridSpan w:val="6"/>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r>
              <w:rPr>
                <w:rFonts w:hint="eastAsia" w:ascii="仿宋_GB2312" w:hAnsi="宋体"/>
                <w:sz w:val="24"/>
                <w:szCs w:val="24"/>
              </w:rPr>
              <w:t>合   计</w:t>
            </w:r>
          </w:p>
        </w:tc>
        <w:tc>
          <w:tcPr>
            <w:tcW w:w="1789"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_GB2312"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6" w:hRule="atLeast"/>
          <w:jc w:val="center"/>
        </w:trPr>
        <w:tc>
          <w:tcPr>
            <w:tcW w:w="1629" w:type="dxa"/>
            <w:vAlign w:val="center"/>
          </w:tcPr>
          <w:p>
            <w:pPr>
              <w:keepNext w:val="0"/>
              <w:keepLines w:val="0"/>
              <w:pageBreakBefore w:val="0"/>
              <w:widowControl w:val="0"/>
              <w:tabs>
                <w:tab w:val="center" w:pos="4153"/>
                <w:tab w:val="right" w:pos="8306"/>
              </w:tabs>
              <w:kinsoku/>
              <w:wordWrap/>
              <w:overflowPunct/>
              <w:topLinePunct w:val="0"/>
              <w:autoSpaceDE/>
              <w:autoSpaceDN/>
              <w:bidi w:val="0"/>
              <w:adjustRightInd w:val="0"/>
              <w:snapToGrid w:val="0"/>
              <w:spacing w:line="240" w:lineRule="auto"/>
              <w:ind w:firstLine="0" w:firstLineChars="0"/>
              <w:textAlignment w:val="auto"/>
              <w:rPr>
                <w:rFonts w:hint="eastAsia" w:ascii="仿宋_GB2312" w:hAnsi="宋体"/>
                <w:sz w:val="24"/>
                <w:szCs w:val="24"/>
              </w:rPr>
            </w:pPr>
            <w:r>
              <w:rPr>
                <w:rFonts w:hint="eastAsia" w:ascii="仿宋_GB2312" w:hAnsi="宋体"/>
                <w:sz w:val="24"/>
                <w:szCs w:val="24"/>
              </w:rPr>
              <w:t>行业协会初审意见（非会员企业由属地发展服务办（局）初审）</w:t>
            </w:r>
          </w:p>
        </w:tc>
        <w:tc>
          <w:tcPr>
            <w:tcW w:w="7679" w:type="dxa"/>
            <w:gridSpan w:val="7"/>
          </w:tcPr>
          <w:p>
            <w:pPr>
              <w:keepNext w:val="0"/>
              <w:keepLines w:val="0"/>
              <w:pageBreakBefore w:val="0"/>
              <w:widowControl w:val="0"/>
              <w:kinsoku/>
              <w:wordWrap/>
              <w:overflowPunct/>
              <w:topLinePunct w:val="0"/>
              <w:autoSpaceDE/>
              <w:autoSpaceDN/>
              <w:bidi w:val="0"/>
              <w:adjustRightInd w:val="0"/>
              <w:snapToGrid w:val="0"/>
              <w:spacing w:line="240" w:lineRule="auto"/>
              <w:ind w:left="7134" w:leftChars="1442" w:hanging="2520" w:hangingChars="1200"/>
              <w:textAlignment w:val="auto"/>
              <w:rPr>
                <w:rFonts w:hint="eastAsia" w:ascii="仿宋_GB2312" w:hAnsi="宋体" w:cs="宋体"/>
                <w:kern w:val="0"/>
                <w:sz w:val="21"/>
                <w:szCs w:val="21"/>
              </w:rPr>
            </w:pPr>
            <w:r>
              <w:rPr>
                <w:rFonts w:hint="eastAsia" w:ascii="仿宋_GB2312" w:hAnsi="宋体"/>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240" w:lineRule="auto"/>
              <w:ind w:left="4733" w:hanging="4733" w:hangingChars="2254"/>
              <w:jc w:val="center"/>
              <w:textAlignment w:val="auto"/>
              <w:rPr>
                <w:rFonts w:hint="eastAsia" w:ascii="仿宋_GB2312" w:hAnsi="宋体" w:cs="宋体"/>
                <w:kern w:val="0"/>
                <w:sz w:val="21"/>
                <w:szCs w:val="21"/>
              </w:rPr>
            </w:pPr>
            <w:r>
              <w:rPr>
                <w:rFonts w:hint="eastAsia" w:ascii="仿宋_GB2312" w:hAnsi="宋体" w:cs="宋体"/>
                <w:kern w:val="0"/>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240" w:lineRule="auto"/>
              <w:ind w:left="4733" w:hanging="4733" w:hangingChars="2254"/>
              <w:jc w:val="center"/>
              <w:textAlignment w:val="auto"/>
              <w:rPr>
                <w:rFonts w:hint="eastAsia" w:ascii="仿宋_GB2312" w:hAnsi="宋体" w:cs="宋体"/>
                <w:kern w:val="0"/>
                <w:sz w:val="21"/>
                <w:szCs w:val="21"/>
              </w:rPr>
            </w:pPr>
            <w:r>
              <w:rPr>
                <w:rFonts w:hint="eastAsia" w:ascii="仿宋_GB2312" w:hAnsi="宋体" w:cs="宋体"/>
                <w:kern w:val="0"/>
                <w:sz w:val="21"/>
                <w:szCs w:val="21"/>
              </w:rPr>
              <w:t xml:space="preserve">                    （盖章） </w:t>
            </w:r>
          </w:p>
          <w:p>
            <w:pPr>
              <w:keepNext w:val="0"/>
              <w:keepLines w:val="0"/>
              <w:pageBreakBefore w:val="0"/>
              <w:widowControl w:val="0"/>
              <w:kinsoku/>
              <w:wordWrap/>
              <w:overflowPunct/>
              <w:topLinePunct w:val="0"/>
              <w:autoSpaceDE/>
              <w:autoSpaceDN/>
              <w:bidi w:val="0"/>
              <w:adjustRightInd w:val="0"/>
              <w:snapToGrid w:val="0"/>
              <w:spacing w:line="240" w:lineRule="auto"/>
              <w:ind w:left="4733" w:hanging="4733" w:hangingChars="2254"/>
              <w:textAlignment w:val="auto"/>
              <w:rPr>
                <w:rFonts w:hint="eastAsia" w:ascii="仿宋_GB2312" w:hAnsi="宋体"/>
                <w:sz w:val="21"/>
                <w:szCs w:val="21"/>
              </w:rPr>
            </w:pPr>
            <w:r>
              <w:rPr>
                <w:rFonts w:hint="eastAsia" w:ascii="仿宋_GB2312" w:hAnsi="宋体" w:cs="宋体"/>
                <w:kern w:val="0"/>
                <w:sz w:val="21"/>
                <w:szCs w:val="21"/>
              </w:rPr>
              <w:t xml:space="preserve">                                           日期：    年   月    日</w:t>
            </w:r>
          </w:p>
        </w:tc>
      </w:tr>
    </w:tbl>
    <w:p>
      <w:pPr>
        <w:spacing w:line="500" w:lineRule="exact"/>
        <w:ind w:firstLine="640"/>
        <w:rPr>
          <w:rFonts w:ascii="仿宋_GB2312"/>
          <w:szCs w:val="22"/>
        </w:rPr>
      </w:pPr>
    </w:p>
    <w:sectPr>
      <w:pgSz w:w="11906" w:h="16838"/>
      <w:pgMar w:top="2098" w:right="1474" w:bottom="1984"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方正小标宋简体">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zMTliOGNkNjViMmFhM2I1ZTRiOTMxMzkzOTYyOWUifQ=="/>
  </w:docVars>
  <w:rsids>
    <w:rsidRoot w:val="435B40A2"/>
    <w:rsid w:val="00040FEC"/>
    <w:rsid w:val="001245F9"/>
    <w:rsid w:val="00261E05"/>
    <w:rsid w:val="002B2A5C"/>
    <w:rsid w:val="003F1034"/>
    <w:rsid w:val="0082272E"/>
    <w:rsid w:val="00A00D7F"/>
    <w:rsid w:val="00DB4CC0"/>
    <w:rsid w:val="00FA6488"/>
    <w:rsid w:val="055469BC"/>
    <w:rsid w:val="0F410473"/>
    <w:rsid w:val="12FE6EB0"/>
    <w:rsid w:val="13266824"/>
    <w:rsid w:val="16450E8F"/>
    <w:rsid w:val="167610E0"/>
    <w:rsid w:val="17E36EFC"/>
    <w:rsid w:val="1DDD4D6D"/>
    <w:rsid w:val="23816597"/>
    <w:rsid w:val="25FB640F"/>
    <w:rsid w:val="2A2D2B87"/>
    <w:rsid w:val="2C9314C8"/>
    <w:rsid w:val="327637CE"/>
    <w:rsid w:val="334A18D2"/>
    <w:rsid w:val="381C47C8"/>
    <w:rsid w:val="413A4D56"/>
    <w:rsid w:val="41BE7CB3"/>
    <w:rsid w:val="435B40A2"/>
    <w:rsid w:val="47DA624A"/>
    <w:rsid w:val="52B550D7"/>
    <w:rsid w:val="5B425F55"/>
    <w:rsid w:val="5D495E9D"/>
    <w:rsid w:val="6890677F"/>
    <w:rsid w:val="6F171C3F"/>
    <w:rsid w:val="746F1712"/>
    <w:rsid w:val="7AAF5B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52" w:lineRule="exact"/>
      <w:ind w:firstLine="200" w:firstLineChars="200"/>
      <w:jc w:val="both"/>
    </w:pPr>
    <w:rPr>
      <w:rFonts w:ascii="Calibri" w:hAnsi="Calibri" w:eastAsia="仿宋_GB2312" w:cs="Times New Roman"/>
      <w:kern w:val="2"/>
      <w:sz w:val="32"/>
      <w:lang w:val="en-US" w:eastAsia="zh-CN" w:bidi="ar-SA"/>
    </w:rPr>
  </w:style>
  <w:style w:type="paragraph" w:styleId="2">
    <w:name w:val="heading 2"/>
    <w:basedOn w:val="1"/>
    <w:next w:val="3"/>
    <w:qFormat/>
    <w:uiPriority w:val="0"/>
    <w:pPr>
      <w:keepNext/>
      <w:keepLines/>
      <w:outlineLvl w:val="1"/>
    </w:pPr>
    <w:rPr>
      <w:rFonts w:ascii="Arial" w:hAnsi="Arial" w:eastAsia="黑体"/>
      <w:kern w:val="0"/>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Normal Indent"/>
    <w:basedOn w:val="1"/>
    <w:unhideWhenUsed/>
    <w:qFormat/>
    <w:uiPriority w:val="99"/>
    <w:pPr>
      <w:ind w:firstLine="420"/>
    </w:pPr>
  </w:style>
  <w:style w:type="paragraph" w:styleId="4">
    <w:name w:val="Subtitle"/>
    <w:basedOn w:val="1"/>
    <w:next w:val="1"/>
    <w:qFormat/>
    <w:uiPriority w:val="11"/>
    <w:pPr>
      <w:spacing w:afterLines="50" w:line="312" w:lineRule="atLeast"/>
      <w:ind w:firstLine="0" w:firstLineChars="0"/>
      <w:jc w:val="center"/>
      <w:outlineLvl w:val="1"/>
    </w:pPr>
    <w:rPr>
      <w:rFonts w:ascii="Cambria" w:hAnsi="Cambria" w:eastAsia="宋体"/>
      <w:b/>
      <w:bCs/>
      <w:kern w:val="28"/>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DoubleOX</Company>
  <Pages>3</Pages>
  <Words>748</Words>
  <Characters>766</Characters>
  <Lines>7</Lines>
  <Paragraphs>1</Paragraphs>
  <TotalTime>2</TotalTime>
  <ScaleCrop>false</ScaleCrop>
  <LinksUpToDate>false</LinksUpToDate>
  <CharactersWithSpaces>898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2021-05-07T06:44:00Z</dcterms:created>
  <dc:creator>jxj</dc:creator>
  <cp:lastModifiedBy>凌云</cp:lastModifiedBy>
  <cp:lastPrinted>2021-07-01T14:05:00Z</cp:lastPrinted>
  <dcterms:modified xsi:type="dcterms:W3CDTF">2023-11-03T06:25:49Z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0EFFAB66098F4DC09D9D302A9F85C512</vt:lpwstr>
  </property>
</Properties>
</file>