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7EE91C">
      <w:pPr>
        <w:spacing w:line="560" w:lineRule="exact"/>
        <w:jc w:val="center"/>
        <w:rPr>
          <w:rFonts w:hint="eastAsia"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2020</w:t>
      </w:r>
      <w:r>
        <w:rPr>
          <w:rFonts w:hint="eastAsia" w:ascii="方正小标宋简体" w:hAnsi="方正小标宋简体" w:eastAsia="方正小标宋简体" w:cs="方正小标宋简体"/>
          <w:sz w:val="44"/>
          <w:szCs w:val="44"/>
        </w:rPr>
        <w:t>年慈溪市</w:t>
      </w:r>
      <w:r>
        <w:rPr>
          <w:rFonts w:hint="eastAsia" w:ascii="方正小标宋简体" w:hAnsi="方正小标宋简体" w:eastAsia="方正小标宋简体" w:cs="方正小标宋简体"/>
          <w:sz w:val="44"/>
          <w:szCs w:val="44"/>
          <w:lang w:eastAsia="zh-CN"/>
        </w:rPr>
        <w:t>综合行政执法局</w:t>
      </w:r>
      <w:r>
        <w:rPr>
          <w:rFonts w:hint="eastAsia" w:ascii="方正小标宋简体" w:hAnsi="方正小标宋简体" w:eastAsia="方正小标宋简体" w:cs="方正小标宋简体"/>
          <w:sz w:val="44"/>
          <w:szCs w:val="44"/>
        </w:rPr>
        <w:t>信息公开工作</w:t>
      </w:r>
    </w:p>
    <w:p w14:paraId="1A181BE2">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年度报告</w:t>
      </w:r>
    </w:p>
    <w:p w14:paraId="103B437D">
      <w:pPr>
        <w:spacing w:line="560" w:lineRule="exact"/>
        <w:rPr>
          <w:rFonts w:hint="eastAsia" w:ascii="仿宋_GB2312" w:hAnsi="仿宋_GB2312" w:eastAsia="仿宋_GB2312" w:cs="仿宋_GB2312"/>
          <w:sz w:val="32"/>
          <w:szCs w:val="32"/>
        </w:rPr>
      </w:pPr>
    </w:p>
    <w:p w14:paraId="6D027AE1">
      <w:pPr>
        <w:spacing w:line="560" w:lineRule="exact"/>
        <w:ind w:firstLine="622" w:firstLineChars="200"/>
        <w:jc w:val="left"/>
        <w:rPr>
          <w:rFonts w:ascii="黑体" w:hAnsi="黑体" w:eastAsia="黑体" w:cs="仿宋_GB2312"/>
          <w:bCs/>
          <w:sz w:val="32"/>
          <w:szCs w:val="32"/>
        </w:rPr>
      </w:pPr>
      <w:r>
        <w:rPr>
          <w:rFonts w:hint="eastAsia" w:ascii="黑体" w:hAnsi="黑体" w:eastAsia="黑体" w:cs="仿宋_GB2312"/>
          <w:bCs/>
          <w:sz w:val="32"/>
          <w:szCs w:val="32"/>
        </w:rPr>
        <w:t>一、总体情况</w:t>
      </w:r>
    </w:p>
    <w:p w14:paraId="6ACAB369">
      <w:pPr>
        <w:widowControl/>
        <w:spacing w:line="600" w:lineRule="exact"/>
        <w:ind w:firstLine="606" w:firstLineChars="200"/>
        <w:jc w:val="left"/>
        <w:rPr>
          <w:rFonts w:hint="eastAsia" w:ascii="仿宋_GB2312" w:hAnsi="宋体" w:eastAsia="仿宋_GB2312" w:cs="宋体"/>
          <w:color w:val="auto"/>
          <w:kern w:val="0"/>
          <w:sz w:val="32"/>
          <w:szCs w:val="32"/>
        </w:rPr>
      </w:pPr>
      <w:r>
        <w:rPr>
          <w:rFonts w:hint="eastAsia" w:ascii="仿宋_GB2312" w:eastAsia="仿宋_GB2312"/>
          <w:color w:val="auto"/>
          <w:spacing w:val="-4"/>
          <w:sz w:val="32"/>
          <w:szCs w:val="32"/>
          <w:lang w:val="en-US" w:eastAsia="zh-CN"/>
        </w:rPr>
        <w:t>2020</w:t>
      </w:r>
      <w:r>
        <w:rPr>
          <w:rFonts w:hint="eastAsia" w:ascii="仿宋_GB2312" w:eastAsia="仿宋_GB2312"/>
          <w:color w:val="auto"/>
          <w:spacing w:val="-4"/>
          <w:sz w:val="32"/>
          <w:szCs w:val="32"/>
        </w:rPr>
        <w:t>年，我局</w:t>
      </w:r>
      <w:r>
        <w:rPr>
          <w:rFonts w:hint="eastAsia" w:ascii="仿宋_GB2312" w:eastAsia="仿宋_GB2312"/>
          <w:color w:val="auto"/>
          <w:spacing w:val="-4"/>
          <w:sz w:val="32"/>
          <w:szCs w:val="32"/>
          <w:lang w:eastAsia="zh-CN"/>
        </w:rPr>
        <w:t>认真贯彻落实《中华人民共和国政府信息公开条例》《浙江省政府信息公开暂行办法》《</w:t>
      </w:r>
      <w:r>
        <w:rPr>
          <w:rFonts w:hint="eastAsia" w:ascii="仿宋_GB2312" w:eastAsia="仿宋_GB2312"/>
          <w:color w:val="auto"/>
          <w:spacing w:val="-4"/>
          <w:sz w:val="32"/>
          <w:szCs w:val="32"/>
          <w:lang w:val="en-US" w:eastAsia="zh-CN"/>
        </w:rPr>
        <w:t>2020</w:t>
      </w:r>
      <w:r>
        <w:rPr>
          <w:rFonts w:hint="eastAsia" w:ascii="仿宋_GB2312" w:eastAsia="仿宋_GB2312"/>
          <w:color w:val="auto"/>
          <w:spacing w:val="-4"/>
          <w:sz w:val="32"/>
          <w:szCs w:val="32"/>
          <w:lang w:eastAsia="zh-CN"/>
        </w:rPr>
        <w:t>年浙江省政务公开工作要点》</w:t>
      </w:r>
      <w:r>
        <w:rPr>
          <w:rFonts w:hint="eastAsia" w:ascii="仿宋_GB2312" w:eastAsia="仿宋_GB2312"/>
          <w:color w:val="auto"/>
          <w:spacing w:val="-4"/>
          <w:sz w:val="32"/>
          <w:szCs w:val="32"/>
        </w:rPr>
        <w:t>，</w:t>
      </w:r>
      <w:r>
        <w:rPr>
          <w:rFonts w:hint="eastAsia" w:ascii="仿宋_GB2312" w:eastAsia="仿宋_GB2312"/>
          <w:color w:val="auto"/>
          <w:spacing w:val="-4"/>
          <w:sz w:val="32"/>
          <w:szCs w:val="32"/>
          <w:lang w:eastAsia="zh-CN"/>
        </w:rPr>
        <w:t>根据</w:t>
      </w:r>
      <w:r>
        <w:rPr>
          <w:rFonts w:hint="eastAsia" w:ascii="仿宋_GB2312" w:eastAsia="仿宋_GB2312"/>
          <w:color w:val="auto"/>
          <w:spacing w:val="-4"/>
          <w:sz w:val="32"/>
          <w:szCs w:val="32"/>
        </w:rPr>
        <w:t>《慈溪市人民政府办公室</w:t>
      </w:r>
      <w:r>
        <w:rPr>
          <w:rFonts w:hint="eastAsia" w:ascii="仿宋_GB2312" w:eastAsia="仿宋_GB2312"/>
          <w:color w:val="auto"/>
          <w:spacing w:val="-4"/>
          <w:sz w:val="32"/>
          <w:szCs w:val="32"/>
          <w:lang w:val="en-US" w:eastAsia="zh-CN"/>
        </w:rPr>
        <w:t xml:space="preserve"> </w:t>
      </w:r>
      <w:r>
        <w:rPr>
          <w:rFonts w:hint="eastAsia" w:ascii="仿宋_GB2312" w:eastAsia="仿宋_GB2312"/>
          <w:color w:val="auto"/>
          <w:spacing w:val="-4"/>
          <w:sz w:val="32"/>
          <w:szCs w:val="32"/>
        </w:rPr>
        <w:t>关于印发2020年慈溪市政务公开工作要点的通知》（慈政办发〔</w:t>
      </w:r>
      <w:r>
        <w:rPr>
          <w:rFonts w:hint="eastAsia" w:ascii="仿宋_GB2312" w:eastAsia="仿宋_GB2312"/>
          <w:color w:val="auto"/>
          <w:spacing w:val="-4"/>
          <w:sz w:val="32"/>
          <w:szCs w:val="32"/>
          <w:lang w:val="en-US" w:eastAsia="zh-CN"/>
        </w:rPr>
        <w:t>2020</w:t>
      </w:r>
      <w:r>
        <w:rPr>
          <w:rFonts w:hint="eastAsia" w:ascii="仿宋_GB2312" w:eastAsia="仿宋_GB2312"/>
          <w:color w:val="auto"/>
          <w:spacing w:val="-4"/>
          <w:sz w:val="32"/>
          <w:szCs w:val="32"/>
        </w:rPr>
        <w:t>〕</w:t>
      </w:r>
      <w:r>
        <w:rPr>
          <w:rFonts w:hint="eastAsia" w:ascii="仿宋_GB2312" w:eastAsia="仿宋_GB2312"/>
          <w:color w:val="auto"/>
          <w:spacing w:val="-4"/>
          <w:sz w:val="32"/>
          <w:szCs w:val="32"/>
          <w:lang w:val="en-US" w:eastAsia="zh-CN"/>
        </w:rPr>
        <w:t>46</w:t>
      </w:r>
      <w:r>
        <w:rPr>
          <w:rFonts w:hint="eastAsia" w:ascii="仿宋_GB2312" w:eastAsia="仿宋_GB2312"/>
          <w:color w:val="auto"/>
          <w:spacing w:val="-4"/>
          <w:sz w:val="32"/>
          <w:szCs w:val="32"/>
        </w:rPr>
        <w:t>号）和《慈溪市人民政府办公室 关于印发</w:t>
      </w:r>
      <w:r>
        <w:rPr>
          <w:rFonts w:hint="eastAsia" w:ascii="仿宋_GB2312" w:eastAsia="仿宋_GB2312"/>
          <w:color w:val="auto"/>
          <w:spacing w:val="-4"/>
          <w:sz w:val="32"/>
          <w:szCs w:val="32"/>
          <w:lang w:val="en-US" w:eastAsia="zh-CN"/>
        </w:rPr>
        <w:t>2020</w:t>
      </w:r>
      <w:r>
        <w:rPr>
          <w:rFonts w:hint="eastAsia" w:ascii="仿宋_GB2312" w:eastAsia="仿宋_GB2312"/>
          <w:color w:val="auto"/>
          <w:spacing w:val="-4"/>
          <w:sz w:val="32"/>
          <w:szCs w:val="32"/>
        </w:rPr>
        <w:t>年政务公开工作</w:t>
      </w:r>
      <w:r>
        <w:rPr>
          <w:rFonts w:hint="eastAsia" w:ascii="仿宋_GB2312" w:eastAsia="仿宋_GB2312"/>
          <w:color w:val="auto"/>
          <w:spacing w:val="-4"/>
          <w:sz w:val="32"/>
          <w:szCs w:val="32"/>
          <w:lang w:eastAsia="zh-CN"/>
        </w:rPr>
        <w:t>考核办法</w:t>
      </w:r>
      <w:r>
        <w:rPr>
          <w:rFonts w:hint="eastAsia" w:ascii="仿宋_GB2312" w:eastAsia="仿宋_GB2312"/>
          <w:color w:val="auto"/>
          <w:spacing w:val="-4"/>
          <w:sz w:val="32"/>
          <w:szCs w:val="32"/>
        </w:rPr>
        <w:t>的通知》（慈政办发〔</w:t>
      </w:r>
      <w:r>
        <w:rPr>
          <w:rFonts w:hint="eastAsia" w:ascii="仿宋_GB2312" w:eastAsia="仿宋_GB2312"/>
          <w:color w:val="auto"/>
          <w:spacing w:val="-4"/>
          <w:sz w:val="32"/>
          <w:szCs w:val="32"/>
          <w:lang w:val="en-US" w:eastAsia="zh-CN"/>
        </w:rPr>
        <w:t>2020</w:t>
      </w:r>
      <w:r>
        <w:rPr>
          <w:rFonts w:hint="eastAsia" w:ascii="仿宋_GB2312" w:eastAsia="仿宋_GB2312"/>
          <w:color w:val="auto"/>
          <w:spacing w:val="-4"/>
          <w:sz w:val="32"/>
          <w:szCs w:val="32"/>
        </w:rPr>
        <w:t>〕</w:t>
      </w:r>
      <w:r>
        <w:rPr>
          <w:rFonts w:hint="eastAsia" w:ascii="仿宋_GB2312" w:eastAsia="仿宋_GB2312"/>
          <w:color w:val="auto"/>
          <w:spacing w:val="-4"/>
          <w:sz w:val="32"/>
          <w:szCs w:val="32"/>
          <w:lang w:val="en-US" w:eastAsia="zh-CN"/>
        </w:rPr>
        <w:t>62</w:t>
      </w:r>
      <w:r>
        <w:rPr>
          <w:rFonts w:hint="eastAsia" w:ascii="仿宋_GB2312" w:eastAsia="仿宋_GB2312"/>
          <w:color w:val="auto"/>
          <w:spacing w:val="-4"/>
          <w:sz w:val="32"/>
          <w:szCs w:val="32"/>
        </w:rPr>
        <w:t>号）要求，紧紧围绕我局中心工作，扎实履行“推进、指导、协调、监督”职责，坚持“以公开为常态、不公开为例外”原则，持续深入推进政务公开规范化、制度化、常态化建设。</w:t>
      </w:r>
      <w:r>
        <w:rPr>
          <w:rFonts w:hint="eastAsia" w:ascii="仿宋_GB2312" w:eastAsia="仿宋_GB2312"/>
          <w:color w:val="auto"/>
          <w:spacing w:val="-4"/>
          <w:sz w:val="32"/>
          <w:szCs w:val="32"/>
          <w:lang w:val="en-US" w:eastAsia="zh-CN"/>
        </w:rPr>
        <w:t>2020年7月，我局作为城市综合执法试点领域基层政务公开标准目录编制牵头单位，贯彻《宁波市人民政府办公厅关于做好全面推进基层政务公开标准化规范化工作的通知》（甬政办发 〔2020〕22号）文件精神，全面梳理属于我局职责范围内的政务公开事项，扎实做好标准目录编制工作，共认领工程建设管理、绿化管理、市容环境卫生管理、市政公用管理、违法建设等公开事项共计201条。</w:t>
      </w:r>
      <w:r>
        <w:rPr>
          <w:rFonts w:hint="eastAsia" w:ascii="仿宋_GB2312" w:eastAsia="仿宋_GB2312"/>
          <w:color w:val="auto"/>
          <w:spacing w:val="-4"/>
          <w:sz w:val="32"/>
          <w:szCs w:val="32"/>
        </w:rPr>
        <w:t>年报中所列数据的统计期限自</w:t>
      </w:r>
      <w:r>
        <w:rPr>
          <w:rFonts w:hint="eastAsia" w:ascii="仿宋_GB2312" w:eastAsia="仿宋_GB2312"/>
          <w:color w:val="auto"/>
          <w:spacing w:val="-4"/>
          <w:sz w:val="32"/>
          <w:szCs w:val="32"/>
          <w:lang w:val="en-US" w:eastAsia="zh-CN"/>
        </w:rPr>
        <w:t>2020</w:t>
      </w:r>
      <w:r>
        <w:rPr>
          <w:rFonts w:hint="eastAsia" w:ascii="仿宋_GB2312" w:eastAsia="仿宋_GB2312"/>
          <w:color w:val="auto"/>
          <w:spacing w:val="-4"/>
          <w:sz w:val="32"/>
          <w:szCs w:val="32"/>
        </w:rPr>
        <w:t>年1月1日起至</w:t>
      </w:r>
      <w:r>
        <w:rPr>
          <w:rFonts w:hint="eastAsia" w:ascii="仿宋_GB2312" w:eastAsia="仿宋_GB2312"/>
          <w:color w:val="auto"/>
          <w:spacing w:val="-4"/>
          <w:sz w:val="32"/>
          <w:szCs w:val="32"/>
          <w:lang w:val="en-US" w:eastAsia="zh-CN"/>
        </w:rPr>
        <w:t>2020</w:t>
      </w:r>
      <w:r>
        <w:rPr>
          <w:rFonts w:hint="eastAsia" w:ascii="仿宋_GB2312" w:eastAsia="仿宋_GB2312"/>
          <w:color w:val="auto"/>
          <w:spacing w:val="-4"/>
          <w:sz w:val="32"/>
          <w:szCs w:val="32"/>
        </w:rPr>
        <w:t>年</w:t>
      </w:r>
      <w:r>
        <w:rPr>
          <w:rFonts w:hint="eastAsia" w:ascii="仿宋_GB2312" w:eastAsia="仿宋_GB2312"/>
          <w:color w:val="auto"/>
          <w:spacing w:val="-4"/>
          <w:sz w:val="32"/>
          <w:szCs w:val="32"/>
          <w:lang w:val="en-US" w:eastAsia="zh-CN"/>
        </w:rPr>
        <w:t>12</w:t>
      </w:r>
      <w:r>
        <w:rPr>
          <w:rFonts w:hint="eastAsia" w:ascii="仿宋_GB2312" w:eastAsia="仿宋_GB2312"/>
          <w:color w:val="auto"/>
          <w:spacing w:val="-4"/>
          <w:sz w:val="32"/>
          <w:szCs w:val="32"/>
        </w:rPr>
        <w:t>月</w:t>
      </w:r>
      <w:r>
        <w:rPr>
          <w:rFonts w:hint="eastAsia" w:ascii="仿宋_GB2312" w:eastAsia="仿宋_GB2312"/>
          <w:color w:val="auto"/>
          <w:spacing w:val="-4"/>
          <w:sz w:val="32"/>
          <w:szCs w:val="32"/>
          <w:lang w:val="en-US" w:eastAsia="zh-CN"/>
        </w:rPr>
        <w:t>31</w:t>
      </w:r>
      <w:r>
        <w:rPr>
          <w:rFonts w:hint="eastAsia" w:ascii="仿宋_GB2312" w:eastAsia="仿宋_GB2312"/>
          <w:color w:val="auto"/>
          <w:spacing w:val="-4"/>
          <w:sz w:val="32"/>
          <w:szCs w:val="32"/>
        </w:rPr>
        <w:t>日止。年报的电子版可在慈溪市综合行政执法局门户网站（http://www.cixi.gov.cn/col/col1229038538/index.html）首页中的“</w:t>
      </w:r>
      <w:r>
        <w:rPr>
          <w:rFonts w:hint="eastAsia" w:ascii="仿宋_GB2312" w:eastAsia="仿宋_GB2312"/>
          <w:color w:val="auto"/>
          <w:spacing w:val="-4"/>
          <w:sz w:val="32"/>
          <w:szCs w:val="32"/>
          <w:lang w:eastAsia="zh-CN"/>
        </w:rPr>
        <w:t>政府信息公开年报</w:t>
      </w:r>
      <w:r>
        <w:rPr>
          <w:rFonts w:hint="eastAsia" w:ascii="仿宋_GB2312" w:eastAsia="仿宋_GB2312"/>
          <w:color w:val="auto"/>
          <w:spacing w:val="-4"/>
          <w:sz w:val="32"/>
          <w:szCs w:val="32"/>
        </w:rPr>
        <w:t>”专栏下载。</w:t>
      </w:r>
    </w:p>
    <w:p w14:paraId="6E99EF3D">
      <w:pPr>
        <w:spacing w:line="600" w:lineRule="exact"/>
        <w:ind w:firstLine="622" w:firstLineChars="200"/>
        <w:rPr>
          <w:rFonts w:hint="eastAsia" w:ascii="仿宋_GB2312" w:eastAsia="仿宋_GB2312"/>
          <w:color w:val="auto"/>
          <w:spacing w:val="-4"/>
          <w:sz w:val="32"/>
          <w:szCs w:val="32"/>
        </w:rPr>
      </w:pPr>
      <w:r>
        <w:rPr>
          <w:rFonts w:hint="eastAsia" w:ascii="楷体_GB2312" w:hAnsi="黑体" w:eastAsia="楷体_GB2312" w:cs="宋体"/>
          <w:bCs/>
          <w:color w:val="auto"/>
          <w:kern w:val="0"/>
          <w:sz w:val="32"/>
          <w:szCs w:val="32"/>
        </w:rPr>
        <w:t>（一）主动公开情况。</w:t>
      </w:r>
      <w:r>
        <w:rPr>
          <w:rFonts w:hint="eastAsia" w:ascii="仿宋_GB2312" w:eastAsia="仿宋_GB2312"/>
          <w:color w:val="auto"/>
          <w:spacing w:val="-4"/>
          <w:sz w:val="32"/>
          <w:szCs w:val="32"/>
        </w:rPr>
        <w:t>进一步规范和完善政府信息公开工作机制，建立健全我局政府信息公开工作领导小组，明确了职责分工，切实加强对政府信息公开工作的领导，进一步探索建立政府信息公开长效机制，</w:t>
      </w:r>
      <w:r>
        <w:rPr>
          <w:rFonts w:hint="eastAsia" w:ascii="仿宋_GB2312" w:eastAsia="仿宋_GB2312"/>
          <w:color w:val="auto"/>
          <w:spacing w:val="-4"/>
          <w:sz w:val="32"/>
          <w:szCs w:val="32"/>
          <w:lang w:eastAsia="zh-CN"/>
        </w:rPr>
        <w:t>不断提升信息公开透明度，</w:t>
      </w:r>
      <w:r>
        <w:rPr>
          <w:rFonts w:hint="eastAsia" w:ascii="仿宋_GB2312" w:eastAsia="仿宋_GB2312"/>
          <w:color w:val="auto"/>
          <w:spacing w:val="-4"/>
          <w:sz w:val="32"/>
          <w:szCs w:val="32"/>
        </w:rPr>
        <w:t>完善了政府信息公开保密审查以及政府信息公开界定标准，确保政府信息公开工作安全有序。一是主动公开政府信息的数量。本年度，局通过局机关网站、政务微博、政务微信等主动公开政府信息累计</w:t>
      </w:r>
      <w:r>
        <w:rPr>
          <w:rFonts w:hint="eastAsia" w:ascii="仿宋_GB2312" w:eastAsia="仿宋_GB2312"/>
          <w:color w:val="auto"/>
          <w:spacing w:val="-4"/>
          <w:sz w:val="32"/>
          <w:szCs w:val="32"/>
          <w:highlight w:val="none"/>
          <w:lang w:val="en-US" w:eastAsia="zh-CN"/>
        </w:rPr>
        <w:t>792</w:t>
      </w:r>
      <w:r>
        <w:rPr>
          <w:rFonts w:hint="eastAsia" w:ascii="仿宋_GB2312" w:eastAsia="仿宋_GB2312"/>
          <w:color w:val="auto"/>
          <w:spacing w:val="-4"/>
          <w:sz w:val="32"/>
          <w:szCs w:val="32"/>
        </w:rPr>
        <w:t>条</w:t>
      </w:r>
      <w:r>
        <w:rPr>
          <w:rFonts w:hint="eastAsia" w:ascii="仿宋_GB2312" w:eastAsia="仿宋_GB2312"/>
          <w:color w:val="auto"/>
          <w:spacing w:val="-4"/>
          <w:sz w:val="32"/>
          <w:szCs w:val="32"/>
          <w:lang w:eastAsia="zh-CN"/>
        </w:rPr>
        <w:t>，主要包括政协提案反馈、市容管理所涉及的相关环保油烟整治、养犬管理、文明队伍创建等信息内容，展示服务型政府的形象，为打造良好的城市管理品牌建立了很好的舆论氛围</w:t>
      </w:r>
      <w:r>
        <w:rPr>
          <w:rFonts w:hint="eastAsia" w:ascii="仿宋_GB2312" w:eastAsia="仿宋_GB2312"/>
          <w:color w:val="auto"/>
          <w:spacing w:val="-4"/>
          <w:sz w:val="32"/>
          <w:szCs w:val="32"/>
        </w:rPr>
        <w:t>。二是主动公开政府信息的类别。按《条例》规定的公开范围公开政府信息，网站上做好政府公文、机构职能、行政规范性文件、法律法规、政务动态、财政预决算和“三公经费”、年度报告等信息公开，全年发布相关信息共</w:t>
      </w:r>
      <w:r>
        <w:rPr>
          <w:rFonts w:hint="eastAsia" w:ascii="仿宋_GB2312" w:eastAsia="仿宋_GB2312"/>
          <w:color w:val="auto"/>
          <w:spacing w:val="-4"/>
          <w:sz w:val="32"/>
          <w:szCs w:val="32"/>
          <w:highlight w:val="none"/>
          <w:lang w:val="en-US" w:eastAsia="zh-CN"/>
        </w:rPr>
        <w:t>202</w:t>
      </w:r>
      <w:r>
        <w:rPr>
          <w:rFonts w:hint="eastAsia" w:ascii="仿宋_GB2312" w:eastAsia="仿宋_GB2312"/>
          <w:color w:val="auto"/>
          <w:spacing w:val="-4"/>
          <w:sz w:val="32"/>
          <w:szCs w:val="32"/>
        </w:rPr>
        <w:t>条</w:t>
      </w:r>
      <w:r>
        <w:rPr>
          <w:rFonts w:hint="eastAsia" w:ascii="仿宋_GB2312" w:eastAsia="仿宋_GB2312"/>
          <w:color w:val="auto"/>
          <w:spacing w:val="-4"/>
          <w:sz w:val="32"/>
          <w:szCs w:val="32"/>
          <w:lang w:eastAsia="zh-CN"/>
        </w:rPr>
        <w:t>，将打造法治政府、法治城管，依法执法的工作理念进行了全面的贯彻，为群众了解政府信息，监督政府工作提供了极大方便</w:t>
      </w:r>
      <w:r>
        <w:rPr>
          <w:rFonts w:hint="eastAsia" w:ascii="仿宋_GB2312" w:eastAsia="仿宋_GB2312"/>
          <w:color w:val="auto"/>
          <w:spacing w:val="-4"/>
          <w:sz w:val="32"/>
          <w:szCs w:val="32"/>
        </w:rPr>
        <w:t>。</w:t>
      </w:r>
    </w:p>
    <w:p w14:paraId="4073FD69">
      <w:pPr>
        <w:spacing w:line="600" w:lineRule="exact"/>
        <w:ind w:firstLine="622" w:firstLineChars="200"/>
        <w:rPr>
          <w:rFonts w:hint="eastAsia" w:ascii="仿宋_GB2312" w:eastAsia="仿宋_GB2312"/>
          <w:color w:val="auto"/>
          <w:spacing w:val="-4"/>
          <w:sz w:val="32"/>
          <w:szCs w:val="32"/>
        </w:rPr>
      </w:pPr>
      <w:r>
        <w:rPr>
          <w:rFonts w:hint="eastAsia" w:ascii="楷体_GB2312" w:hAnsi="黑体" w:eastAsia="楷体_GB2312" w:cs="宋体"/>
          <w:bCs/>
          <w:color w:val="auto"/>
          <w:kern w:val="0"/>
          <w:sz w:val="32"/>
          <w:szCs w:val="32"/>
        </w:rPr>
        <w:t>（二）依申请公开情况。</w:t>
      </w:r>
      <w:r>
        <w:rPr>
          <w:rFonts w:hint="eastAsia" w:ascii="仿宋_GB2312" w:eastAsia="仿宋_GB2312"/>
          <w:color w:val="auto"/>
          <w:spacing w:val="-4"/>
          <w:sz w:val="32"/>
          <w:szCs w:val="32"/>
        </w:rPr>
        <w:t>我局坚持“及时回复，内容切实”为目标，</w:t>
      </w:r>
      <w:r>
        <w:rPr>
          <w:rFonts w:hint="eastAsia" w:ascii="仿宋_GB2312" w:eastAsia="仿宋_GB2312"/>
          <w:color w:val="auto"/>
          <w:spacing w:val="-4"/>
          <w:sz w:val="32"/>
          <w:szCs w:val="32"/>
          <w:lang w:eastAsia="zh-CN"/>
        </w:rPr>
        <w:t>持续完善</w:t>
      </w:r>
      <w:r>
        <w:rPr>
          <w:rFonts w:hint="eastAsia" w:ascii="仿宋_GB2312" w:eastAsia="仿宋_GB2312"/>
          <w:color w:val="auto"/>
          <w:spacing w:val="-4"/>
          <w:sz w:val="32"/>
          <w:szCs w:val="32"/>
        </w:rPr>
        <w:t>依申请公开受理机制，严格落实依申请公开的受理、审查、处理、答复等各个环节的规定，规范工作流程，</w:t>
      </w:r>
      <w:r>
        <w:rPr>
          <w:rFonts w:hint="eastAsia" w:ascii="仿宋_GB2312" w:eastAsia="仿宋_GB2312"/>
          <w:color w:val="auto"/>
          <w:spacing w:val="-4"/>
          <w:sz w:val="32"/>
          <w:szCs w:val="32"/>
          <w:lang w:eastAsia="zh-CN"/>
        </w:rPr>
        <w:t>强化信息化平台建设和制度建设，</w:t>
      </w:r>
      <w:r>
        <w:rPr>
          <w:rFonts w:hint="eastAsia" w:ascii="仿宋_GB2312" w:eastAsia="仿宋_GB2312"/>
          <w:color w:val="auto"/>
          <w:spacing w:val="-4"/>
          <w:sz w:val="32"/>
          <w:szCs w:val="32"/>
        </w:rPr>
        <w:t>保障各方合法权益。</w:t>
      </w:r>
      <w:r>
        <w:rPr>
          <w:rFonts w:hint="eastAsia" w:ascii="仿宋_GB2312" w:eastAsia="仿宋_GB2312"/>
          <w:color w:val="auto"/>
          <w:spacing w:val="-4"/>
          <w:sz w:val="32"/>
          <w:szCs w:val="32"/>
          <w:lang w:val="en-US" w:eastAsia="zh-CN"/>
        </w:rPr>
        <w:t>2020</w:t>
      </w:r>
      <w:r>
        <w:rPr>
          <w:rFonts w:hint="eastAsia" w:ascii="仿宋_GB2312" w:eastAsia="仿宋_GB2312"/>
          <w:color w:val="auto"/>
          <w:spacing w:val="-4"/>
          <w:sz w:val="32"/>
          <w:szCs w:val="32"/>
        </w:rPr>
        <w:t>年收到依申请公开数</w:t>
      </w:r>
      <w:r>
        <w:rPr>
          <w:rFonts w:hint="eastAsia" w:ascii="仿宋_GB2312" w:eastAsia="仿宋_GB2312"/>
          <w:color w:val="auto"/>
          <w:spacing w:val="-4"/>
          <w:sz w:val="32"/>
          <w:szCs w:val="32"/>
          <w:highlight w:val="none"/>
        </w:rPr>
        <w:t>为</w:t>
      </w:r>
      <w:r>
        <w:rPr>
          <w:rFonts w:hint="eastAsia" w:ascii="仿宋_GB2312" w:eastAsia="仿宋_GB2312"/>
          <w:color w:val="auto"/>
          <w:spacing w:val="-4"/>
          <w:sz w:val="32"/>
          <w:szCs w:val="32"/>
          <w:highlight w:val="none"/>
          <w:lang w:val="en-US" w:eastAsia="zh-CN"/>
        </w:rPr>
        <w:t>3</w:t>
      </w:r>
      <w:r>
        <w:rPr>
          <w:rFonts w:hint="eastAsia" w:ascii="仿宋_GB2312" w:eastAsia="仿宋_GB2312"/>
          <w:color w:val="auto"/>
          <w:spacing w:val="-4"/>
          <w:sz w:val="32"/>
          <w:szCs w:val="32"/>
        </w:rPr>
        <w:t>。</w:t>
      </w:r>
    </w:p>
    <w:p w14:paraId="2F8EC4CC">
      <w:pPr>
        <w:spacing w:line="600" w:lineRule="exact"/>
        <w:ind w:firstLine="622" w:firstLineChars="200"/>
        <w:rPr>
          <w:rFonts w:hint="eastAsia" w:ascii="仿宋_GB2312" w:hAnsi="宋体" w:eastAsia="仿宋_GB2312"/>
          <w:color w:val="auto"/>
          <w:sz w:val="32"/>
          <w:szCs w:val="32"/>
        </w:rPr>
      </w:pPr>
      <w:r>
        <w:rPr>
          <w:rFonts w:hint="eastAsia" w:ascii="楷体_GB2312" w:hAnsi="黑体" w:eastAsia="楷体_GB2312" w:cs="宋体"/>
          <w:bCs/>
          <w:color w:val="auto"/>
          <w:kern w:val="0"/>
          <w:sz w:val="32"/>
          <w:szCs w:val="32"/>
        </w:rPr>
        <w:t>（三）政府信息管理情况。</w:t>
      </w:r>
      <w:r>
        <w:rPr>
          <w:rFonts w:hint="eastAsia" w:ascii="仿宋_GB2312" w:eastAsia="仿宋_GB2312"/>
          <w:color w:val="auto"/>
          <w:sz w:val="32"/>
          <w:szCs w:val="32"/>
        </w:rPr>
        <w:t>在市政府门</w:t>
      </w:r>
      <w:r>
        <w:rPr>
          <w:rFonts w:hint="eastAsia" w:ascii="仿宋_GB2312" w:eastAsia="仿宋_GB2312"/>
          <w:color w:val="auto"/>
          <w:spacing w:val="-4"/>
          <w:sz w:val="32"/>
          <w:szCs w:val="32"/>
        </w:rPr>
        <w:t>户网站设置了“政府信息公开”专栏，加强</w:t>
      </w:r>
      <w:r>
        <w:rPr>
          <w:rFonts w:hint="eastAsia" w:ascii="仿宋_GB2312" w:eastAsia="仿宋_GB2312"/>
          <w:color w:val="auto"/>
          <w:spacing w:val="-4"/>
          <w:sz w:val="32"/>
          <w:szCs w:val="32"/>
          <w:lang w:eastAsia="zh-CN"/>
        </w:rPr>
        <w:t>综合行政执法</w:t>
      </w:r>
      <w:r>
        <w:rPr>
          <w:rFonts w:hint="eastAsia" w:ascii="仿宋_GB2312" w:eastAsia="仿宋_GB2312"/>
          <w:color w:val="auto"/>
          <w:spacing w:val="-4"/>
          <w:sz w:val="32"/>
          <w:szCs w:val="32"/>
        </w:rPr>
        <w:t>信息归集管理。</w:t>
      </w:r>
      <w:r>
        <w:rPr>
          <w:rFonts w:hint="eastAsia" w:ascii="仿宋_GB2312" w:eastAsia="仿宋_GB2312"/>
          <w:color w:val="auto"/>
          <w:sz w:val="32"/>
          <w:szCs w:val="32"/>
        </w:rPr>
        <w:t>认真落实政府信息公开长效运维管理工作，加强政府信息发布审核，对相关政府信息及时进行动态更新。依托市政府门户网站平台，由局办公室工作人员具体负责对本局政府公开信息的收集、汇总、报批及报送工作，各科室协助</w:t>
      </w:r>
      <w:r>
        <w:rPr>
          <w:rFonts w:hint="eastAsia" w:ascii="仿宋_GB2312" w:eastAsia="仿宋_GB2312"/>
          <w:color w:val="auto"/>
          <w:sz w:val="32"/>
          <w:szCs w:val="32"/>
          <w:lang w:eastAsia="zh-CN"/>
        </w:rPr>
        <w:t>做好信息公开相关基础材料报送工作</w:t>
      </w:r>
      <w:r>
        <w:rPr>
          <w:rFonts w:hint="eastAsia" w:ascii="仿宋_GB2312" w:eastAsia="仿宋_GB2312"/>
          <w:color w:val="auto"/>
          <w:sz w:val="32"/>
          <w:szCs w:val="32"/>
        </w:rPr>
        <w:t>，确保政府信息公开工作有序开展。依据《中华人民共和国政府信息公开条例》，</w:t>
      </w:r>
      <w:r>
        <w:rPr>
          <w:rFonts w:hint="eastAsia" w:ascii="仿宋_GB2312" w:eastAsia="仿宋_GB2312"/>
          <w:color w:val="auto"/>
          <w:sz w:val="32"/>
          <w:szCs w:val="32"/>
          <w:lang w:eastAsia="zh-CN"/>
        </w:rPr>
        <w:t>我局</w:t>
      </w:r>
      <w:r>
        <w:rPr>
          <w:rFonts w:hint="eastAsia" w:ascii="仿宋_GB2312" w:eastAsia="仿宋_GB2312"/>
          <w:color w:val="auto"/>
          <w:sz w:val="32"/>
          <w:szCs w:val="32"/>
        </w:rPr>
        <w:t>制定</w:t>
      </w:r>
      <w:r>
        <w:rPr>
          <w:rFonts w:hint="eastAsia" w:ascii="仿宋_GB2312" w:eastAsia="仿宋_GB2312"/>
          <w:color w:val="auto"/>
          <w:sz w:val="32"/>
          <w:szCs w:val="32"/>
          <w:lang w:eastAsia="zh-CN"/>
        </w:rPr>
        <w:t>了</w:t>
      </w:r>
      <w:r>
        <w:rPr>
          <w:rFonts w:hint="eastAsia" w:ascii="仿宋_GB2312" w:eastAsia="仿宋_GB2312"/>
          <w:color w:val="auto"/>
          <w:sz w:val="32"/>
          <w:szCs w:val="32"/>
        </w:rPr>
        <w:t>《慈溪市</w:t>
      </w:r>
      <w:r>
        <w:rPr>
          <w:rFonts w:hint="eastAsia" w:ascii="仿宋_GB2312" w:eastAsia="仿宋_GB2312"/>
          <w:color w:val="auto"/>
          <w:sz w:val="32"/>
          <w:szCs w:val="32"/>
          <w:lang w:eastAsia="zh-CN"/>
        </w:rPr>
        <w:t>综合行政执法局</w:t>
      </w:r>
      <w:r>
        <w:rPr>
          <w:rFonts w:hint="eastAsia" w:ascii="仿宋_GB2312" w:eastAsia="仿宋_GB2312"/>
          <w:color w:val="auto"/>
          <w:sz w:val="32"/>
          <w:szCs w:val="32"/>
        </w:rPr>
        <w:t>信息公开指南》，有效推动了政府信息公开工作制度化、规范化发展</w:t>
      </w:r>
      <w:r>
        <w:rPr>
          <w:rFonts w:hint="eastAsia" w:ascii="仿宋_GB2312" w:hAnsi="宋体" w:eastAsia="仿宋_GB2312"/>
          <w:color w:val="auto"/>
          <w:sz w:val="32"/>
          <w:szCs w:val="32"/>
        </w:rPr>
        <w:t>。</w:t>
      </w:r>
    </w:p>
    <w:p w14:paraId="101B53E7">
      <w:pPr>
        <w:spacing w:line="600" w:lineRule="exact"/>
        <w:ind w:firstLine="622" w:firstLineChars="200"/>
        <w:rPr>
          <w:rFonts w:hint="eastAsia" w:ascii="仿宋_GB2312" w:eastAsia="仿宋_GB2312"/>
          <w:color w:val="auto"/>
          <w:sz w:val="32"/>
          <w:szCs w:val="32"/>
        </w:rPr>
      </w:pPr>
      <w:r>
        <w:rPr>
          <w:rFonts w:hint="eastAsia" w:ascii="楷体_GB2312" w:hAnsi="黑体" w:eastAsia="楷体_GB2312" w:cs="宋体"/>
          <w:bCs/>
          <w:color w:val="auto"/>
          <w:kern w:val="0"/>
          <w:sz w:val="32"/>
          <w:szCs w:val="32"/>
        </w:rPr>
        <w:t>（四）平台建设情况。</w:t>
      </w:r>
      <w:r>
        <w:rPr>
          <w:rFonts w:hint="eastAsia" w:ascii="仿宋_GB2312" w:eastAsia="仿宋_GB2312"/>
          <w:color w:val="auto"/>
          <w:spacing w:val="-4"/>
          <w:sz w:val="32"/>
          <w:szCs w:val="32"/>
        </w:rPr>
        <w:t>除了大部分</w:t>
      </w:r>
      <w:r>
        <w:rPr>
          <w:rFonts w:hint="eastAsia" w:ascii="仿宋_GB2312" w:eastAsia="仿宋_GB2312"/>
          <w:color w:val="auto"/>
          <w:spacing w:val="-4"/>
          <w:sz w:val="32"/>
          <w:szCs w:val="32"/>
          <w:lang w:eastAsia="zh-CN"/>
        </w:rPr>
        <w:t>宣传</w:t>
      </w:r>
      <w:r>
        <w:rPr>
          <w:rFonts w:hint="eastAsia" w:ascii="仿宋_GB2312" w:eastAsia="仿宋_GB2312"/>
          <w:color w:val="auto"/>
          <w:spacing w:val="-4"/>
          <w:sz w:val="32"/>
          <w:szCs w:val="32"/>
        </w:rPr>
        <w:t>通过局门户网站和报纸、电视、广播等媒体之外，</w:t>
      </w:r>
      <w:r>
        <w:rPr>
          <w:rFonts w:hint="eastAsia" w:ascii="仿宋_GB2312" w:eastAsia="仿宋_GB2312"/>
          <w:color w:val="auto"/>
          <w:spacing w:val="-4"/>
          <w:sz w:val="32"/>
          <w:szCs w:val="32"/>
          <w:lang w:eastAsia="zh-CN"/>
        </w:rPr>
        <w:t>为了和互联网全面接轨以及</w:t>
      </w:r>
      <w:r>
        <w:rPr>
          <w:rFonts w:hint="eastAsia" w:ascii="仿宋_GB2312" w:eastAsia="仿宋_GB2312"/>
          <w:color w:val="auto"/>
          <w:spacing w:val="-4"/>
          <w:sz w:val="32"/>
          <w:szCs w:val="32"/>
        </w:rPr>
        <w:t>方便市民了解信息，我局</w:t>
      </w:r>
      <w:r>
        <w:rPr>
          <w:rFonts w:hint="eastAsia" w:ascii="仿宋_GB2312" w:eastAsia="仿宋_GB2312"/>
          <w:color w:val="auto"/>
          <w:spacing w:val="-4"/>
          <w:sz w:val="32"/>
          <w:szCs w:val="32"/>
          <w:lang w:eastAsia="zh-CN"/>
        </w:rPr>
        <w:t>已经在新媒体宣传运营</w:t>
      </w:r>
      <w:r>
        <w:rPr>
          <w:rFonts w:hint="eastAsia" w:ascii="仿宋_GB2312" w:eastAsia="仿宋_GB2312"/>
          <w:color w:val="auto"/>
          <w:spacing w:val="-4"/>
          <w:sz w:val="32"/>
          <w:szCs w:val="32"/>
          <w:lang w:val="en-US" w:eastAsia="zh-CN"/>
        </w:rPr>
        <w:t>进行了多年尝试，</w:t>
      </w:r>
      <w:r>
        <w:rPr>
          <w:rFonts w:hint="eastAsia" w:ascii="仿宋_GB2312" w:eastAsia="仿宋_GB2312"/>
          <w:color w:val="auto"/>
          <w:spacing w:val="-4"/>
          <w:sz w:val="32"/>
          <w:szCs w:val="32"/>
        </w:rPr>
        <w:t>“慈溪城管”官方微博和 “慈溪微城管”微信公众号</w:t>
      </w:r>
      <w:r>
        <w:rPr>
          <w:rFonts w:hint="eastAsia" w:ascii="仿宋_GB2312" w:eastAsia="仿宋_GB2312"/>
          <w:color w:val="auto"/>
          <w:spacing w:val="-4"/>
          <w:sz w:val="32"/>
          <w:szCs w:val="32"/>
          <w:lang w:eastAsia="zh-CN"/>
        </w:rPr>
        <w:t>运行良好</w:t>
      </w:r>
      <w:r>
        <w:rPr>
          <w:rFonts w:hint="eastAsia" w:ascii="仿宋_GB2312" w:eastAsia="仿宋_GB2312"/>
          <w:color w:val="auto"/>
          <w:spacing w:val="-4"/>
          <w:sz w:val="32"/>
          <w:szCs w:val="32"/>
        </w:rPr>
        <w:t>，</w:t>
      </w:r>
      <w:r>
        <w:rPr>
          <w:rFonts w:hint="eastAsia" w:ascii="仿宋_GB2312" w:eastAsia="仿宋_GB2312"/>
          <w:color w:val="auto"/>
          <w:spacing w:val="-4"/>
          <w:sz w:val="32"/>
          <w:szCs w:val="32"/>
          <w:lang w:eastAsia="zh-CN"/>
        </w:rPr>
        <w:t>通过</w:t>
      </w:r>
      <w:r>
        <w:rPr>
          <w:rFonts w:hint="eastAsia" w:ascii="仿宋_GB2312" w:eastAsia="仿宋_GB2312"/>
          <w:color w:val="auto"/>
          <w:spacing w:val="-4"/>
          <w:sz w:val="32"/>
          <w:szCs w:val="32"/>
        </w:rPr>
        <w:t>与市民进行</w:t>
      </w:r>
      <w:r>
        <w:rPr>
          <w:rFonts w:hint="eastAsia" w:ascii="仿宋_GB2312" w:eastAsia="仿宋_GB2312"/>
          <w:color w:val="auto"/>
          <w:spacing w:val="-4"/>
          <w:sz w:val="32"/>
          <w:szCs w:val="32"/>
          <w:lang w:eastAsia="zh-CN"/>
        </w:rPr>
        <w:t>近距离</w:t>
      </w:r>
      <w:r>
        <w:rPr>
          <w:rFonts w:hint="eastAsia" w:ascii="仿宋_GB2312" w:eastAsia="仿宋_GB2312"/>
          <w:color w:val="auto"/>
          <w:spacing w:val="-4"/>
          <w:sz w:val="32"/>
          <w:szCs w:val="32"/>
        </w:rPr>
        <w:t>沟通交流，加强信息发布的时效性，</w:t>
      </w:r>
      <w:r>
        <w:rPr>
          <w:rFonts w:hint="eastAsia" w:ascii="仿宋_GB2312" w:eastAsia="仿宋_GB2312"/>
          <w:color w:val="auto"/>
          <w:spacing w:val="-4"/>
          <w:sz w:val="32"/>
          <w:szCs w:val="32"/>
          <w:lang w:eastAsia="zh-CN"/>
        </w:rPr>
        <w:t>将城市管理的服务理念全面贯彻</w:t>
      </w:r>
      <w:r>
        <w:rPr>
          <w:rFonts w:hint="eastAsia" w:ascii="仿宋_GB2312" w:hAnsi="黑体" w:eastAsia="仿宋_GB2312"/>
          <w:color w:val="auto"/>
          <w:sz w:val="32"/>
          <w:szCs w:val="32"/>
        </w:rPr>
        <w:t>。</w:t>
      </w:r>
    </w:p>
    <w:p w14:paraId="7E1CC6C6">
      <w:pPr>
        <w:spacing w:line="600" w:lineRule="exact"/>
        <w:ind w:firstLine="622" w:firstLineChars="200"/>
        <w:jc w:val="left"/>
        <w:rPr>
          <w:rFonts w:hint="eastAsia" w:ascii="黑体" w:hAnsi="黑体" w:eastAsia="黑体" w:cs="仿宋_GB2312"/>
          <w:bCs/>
          <w:sz w:val="32"/>
          <w:szCs w:val="32"/>
        </w:rPr>
      </w:pPr>
      <w:r>
        <w:rPr>
          <w:rFonts w:hint="eastAsia" w:ascii="楷体_GB2312" w:hAnsi="宋体" w:eastAsia="楷体_GB2312" w:cs="宋体"/>
          <w:bCs/>
          <w:color w:val="auto"/>
          <w:kern w:val="0"/>
          <w:sz w:val="32"/>
          <w:szCs w:val="32"/>
        </w:rPr>
        <w:t>（五）监督保障情况。</w:t>
      </w:r>
      <w:r>
        <w:rPr>
          <w:rFonts w:hint="eastAsia" w:ascii="仿宋_GB2312" w:hAnsi="黑体" w:eastAsia="仿宋_GB2312"/>
          <w:color w:val="auto"/>
          <w:sz w:val="32"/>
          <w:szCs w:val="32"/>
          <w:lang w:eastAsia="zh-CN"/>
        </w:rPr>
        <w:t>局党组</w:t>
      </w:r>
      <w:r>
        <w:rPr>
          <w:rFonts w:hint="eastAsia" w:ascii="仿宋_GB2312" w:hAnsi="黑体" w:eastAsia="仿宋_GB2312"/>
          <w:color w:val="auto"/>
          <w:sz w:val="32"/>
          <w:szCs w:val="32"/>
        </w:rPr>
        <w:t>高度重视</w:t>
      </w:r>
      <w:r>
        <w:rPr>
          <w:rFonts w:hint="eastAsia" w:ascii="仿宋_GB2312" w:hAnsi="黑体" w:eastAsia="仿宋_GB2312"/>
          <w:color w:val="auto"/>
          <w:sz w:val="32"/>
          <w:szCs w:val="32"/>
          <w:lang w:eastAsia="zh-CN"/>
        </w:rPr>
        <w:t>政府信息</w:t>
      </w:r>
      <w:r>
        <w:rPr>
          <w:rFonts w:hint="eastAsia" w:ascii="仿宋_GB2312" w:hAnsi="黑体" w:eastAsia="仿宋_GB2312"/>
          <w:color w:val="auto"/>
          <w:sz w:val="32"/>
          <w:szCs w:val="32"/>
        </w:rPr>
        <w:t>公开工作，</w:t>
      </w:r>
      <w:r>
        <w:rPr>
          <w:rFonts w:hint="eastAsia" w:ascii="仿宋_GB2312" w:hAnsi="黑体" w:eastAsia="仿宋_GB2312"/>
          <w:color w:val="auto"/>
          <w:sz w:val="32"/>
          <w:szCs w:val="32"/>
          <w:lang w:eastAsia="zh-CN"/>
        </w:rPr>
        <w:t>安排办公室负责信息公开工作的同志</w:t>
      </w:r>
      <w:r>
        <w:rPr>
          <w:rFonts w:hint="eastAsia" w:ascii="仿宋_GB2312" w:hAnsi="黑体" w:eastAsia="仿宋_GB2312"/>
          <w:color w:val="auto"/>
          <w:sz w:val="32"/>
          <w:szCs w:val="32"/>
        </w:rPr>
        <w:t>积极参与政务公开集中培训、专题培训，积极学习《中华人民共和国政府信息公开条例》等行政法规，并通过钉钉群实时跟进政务公开工作</w:t>
      </w:r>
      <w:r>
        <w:rPr>
          <w:rFonts w:hint="eastAsia" w:ascii="仿宋_GB2312" w:hAnsi="黑体" w:eastAsia="仿宋_GB2312"/>
          <w:color w:val="auto"/>
          <w:sz w:val="32"/>
          <w:szCs w:val="32"/>
          <w:lang w:eastAsia="zh-CN"/>
        </w:rPr>
        <w:t>，</w:t>
      </w:r>
      <w:r>
        <w:rPr>
          <w:rFonts w:hint="eastAsia" w:ascii="仿宋_GB2312" w:hAnsi="黑体" w:eastAsia="仿宋_GB2312"/>
          <w:color w:val="auto"/>
          <w:sz w:val="32"/>
          <w:szCs w:val="32"/>
        </w:rPr>
        <w:t>严格落实政府信息发布</w:t>
      </w:r>
      <w:r>
        <w:rPr>
          <w:rFonts w:hint="eastAsia" w:ascii="仿宋_GB2312" w:hAnsi="黑体" w:eastAsia="仿宋_GB2312"/>
          <w:color w:val="auto"/>
          <w:sz w:val="32"/>
          <w:szCs w:val="32"/>
          <w:lang w:eastAsia="zh-CN"/>
        </w:rPr>
        <w:t>制度</w:t>
      </w:r>
      <w:r>
        <w:rPr>
          <w:rFonts w:hint="eastAsia" w:ascii="仿宋_GB2312" w:hAnsi="黑体" w:eastAsia="仿宋_GB2312"/>
          <w:color w:val="auto"/>
          <w:sz w:val="32"/>
          <w:szCs w:val="32"/>
        </w:rPr>
        <w:t>，</w:t>
      </w:r>
      <w:r>
        <w:rPr>
          <w:rFonts w:hint="eastAsia" w:ascii="仿宋_GB2312" w:hAnsi="黑体" w:eastAsia="仿宋_GB2312"/>
          <w:color w:val="auto"/>
          <w:sz w:val="32"/>
          <w:szCs w:val="32"/>
          <w:lang w:eastAsia="zh-CN"/>
        </w:rPr>
        <w:t>定期检查，按时更新，有效规范行政行为</w:t>
      </w:r>
      <w:r>
        <w:rPr>
          <w:rFonts w:hint="eastAsia" w:ascii="仿宋_GB2312" w:hAnsi="黑体" w:eastAsia="仿宋_GB2312"/>
          <w:color w:val="auto"/>
          <w:sz w:val="32"/>
          <w:szCs w:val="32"/>
        </w:rPr>
        <w:t>。</w:t>
      </w:r>
    </w:p>
    <w:p w14:paraId="267F449B">
      <w:pPr>
        <w:spacing w:line="560" w:lineRule="exact"/>
        <w:ind w:firstLine="622" w:firstLineChars="200"/>
        <w:jc w:val="left"/>
        <w:rPr>
          <w:rFonts w:ascii="黑体" w:hAnsi="黑体" w:eastAsia="黑体" w:cs="仿宋_GB2312"/>
          <w:bCs/>
          <w:sz w:val="32"/>
          <w:szCs w:val="32"/>
        </w:rPr>
      </w:pPr>
      <w:r>
        <w:rPr>
          <w:rFonts w:hint="eastAsia" w:ascii="黑体" w:hAnsi="黑体" w:eastAsia="黑体" w:cs="仿宋_GB2312"/>
          <w:bCs/>
          <w:sz w:val="32"/>
          <w:szCs w:val="32"/>
        </w:rPr>
        <w:br w:type="page"/>
      </w:r>
      <w:r>
        <w:rPr>
          <w:rFonts w:hint="eastAsia" w:ascii="黑体" w:hAnsi="黑体" w:eastAsia="黑体" w:cs="仿宋_GB2312"/>
          <w:bCs/>
          <w:sz w:val="32"/>
          <w:szCs w:val="32"/>
        </w:rPr>
        <w:t>二、主动公开政府信息情况</w:t>
      </w:r>
    </w:p>
    <w:tbl>
      <w:tblPr>
        <w:tblStyle w:val="3"/>
        <w:tblW w:w="9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2"/>
        <w:gridCol w:w="2653"/>
        <w:gridCol w:w="2310"/>
        <w:gridCol w:w="2025"/>
      </w:tblGrid>
      <w:tr w14:paraId="2F0CC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noWrap w:val="0"/>
            <w:vAlign w:val="top"/>
          </w:tcPr>
          <w:p w14:paraId="26DC5B22">
            <w:pPr>
              <w:spacing w:line="400" w:lineRule="exact"/>
              <w:jc w:val="center"/>
              <w:rPr>
                <w:rFonts w:ascii="黑体" w:hAnsi="黑体" w:eastAsia="黑体"/>
                <w:sz w:val="24"/>
                <w:szCs w:val="24"/>
              </w:rPr>
            </w:pPr>
            <w:r>
              <w:rPr>
                <w:rFonts w:hint="eastAsia" w:ascii="黑体" w:hAnsi="黑体" w:eastAsia="黑体" w:cs="黑体"/>
                <w:sz w:val="24"/>
                <w:szCs w:val="24"/>
              </w:rPr>
              <w:t>第二十条第（一）项</w:t>
            </w:r>
          </w:p>
        </w:tc>
      </w:tr>
      <w:tr w14:paraId="3328A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14:paraId="52AF2553">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noWrap w:val="0"/>
            <w:vAlign w:val="center"/>
          </w:tcPr>
          <w:p w14:paraId="5D7971BF">
            <w:pPr>
              <w:spacing w:line="400" w:lineRule="exact"/>
              <w:jc w:val="center"/>
              <w:rPr>
                <w:rFonts w:ascii="黑体" w:hAnsi="黑体" w:eastAsia="黑体"/>
                <w:sz w:val="24"/>
                <w:szCs w:val="24"/>
              </w:rPr>
            </w:pPr>
            <w:r>
              <w:rPr>
                <w:rFonts w:hint="eastAsia" w:ascii="黑体" w:hAnsi="黑体" w:eastAsia="黑体" w:cs="黑体"/>
                <w:sz w:val="24"/>
                <w:szCs w:val="24"/>
              </w:rPr>
              <w:t>本年新制作数量</w:t>
            </w:r>
          </w:p>
        </w:tc>
        <w:tc>
          <w:tcPr>
            <w:tcW w:w="2310" w:type="dxa"/>
            <w:tcBorders>
              <w:top w:val="single" w:color="auto" w:sz="4" w:space="0"/>
              <w:left w:val="single" w:color="auto" w:sz="4" w:space="0"/>
              <w:bottom w:val="single" w:color="auto" w:sz="4" w:space="0"/>
              <w:right w:val="single" w:color="auto" w:sz="4" w:space="0"/>
            </w:tcBorders>
            <w:noWrap w:val="0"/>
            <w:vAlign w:val="center"/>
          </w:tcPr>
          <w:p w14:paraId="0B01CBC4">
            <w:pPr>
              <w:spacing w:line="400" w:lineRule="exact"/>
              <w:jc w:val="center"/>
              <w:rPr>
                <w:rFonts w:ascii="黑体" w:hAnsi="黑体" w:eastAsia="黑体"/>
                <w:sz w:val="24"/>
                <w:szCs w:val="24"/>
              </w:rPr>
            </w:pPr>
            <w:r>
              <w:rPr>
                <w:rFonts w:hint="eastAsia" w:ascii="黑体" w:hAnsi="黑体" w:eastAsia="黑体" w:cs="黑体"/>
                <w:sz w:val="24"/>
                <w:szCs w:val="24"/>
              </w:rPr>
              <w:t>本年新公开数量</w:t>
            </w:r>
          </w:p>
        </w:tc>
        <w:tc>
          <w:tcPr>
            <w:tcW w:w="2025" w:type="dxa"/>
            <w:tcBorders>
              <w:top w:val="single" w:color="auto" w:sz="4" w:space="0"/>
              <w:left w:val="single" w:color="auto" w:sz="4" w:space="0"/>
              <w:bottom w:val="single" w:color="auto" w:sz="4" w:space="0"/>
              <w:right w:val="single" w:color="auto" w:sz="4" w:space="0"/>
            </w:tcBorders>
            <w:noWrap w:val="0"/>
            <w:vAlign w:val="center"/>
          </w:tcPr>
          <w:p w14:paraId="6DC3AE15">
            <w:pPr>
              <w:spacing w:line="400" w:lineRule="exact"/>
              <w:jc w:val="center"/>
              <w:rPr>
                <w:rFonts w:ascii="黑体" w:hAnsi="黑体" w:eastAsia="黑体"/>
                <w:sz w:val="24"/>
                <w:szCs w:val="24"/>
              </w:rPr>
            </w:pPr>
            <w:r>
              <w:rPr>
                <w:rFonts w:hint="eastAsia" w:ascii="黑体" w:hAnsi="黑体" w:eastAsia="黑体" w:cs="黑体"/>
                <w:sz w:val="24"/>
                <w:szCs w:val="24"/>
              </w:rPr>
              <w:t>对外公开总数量</w:t>
            </w:r>
          </w:p>
        </w:tc>
      </w:tr>
      <w:tr w14:paraId="75911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14:paraId="32A5901B">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规章</w:t>
            </w:r>
          </w:p>
        </w:tc>
        <w:tc>
          <w:tcPr>
            <w:tcW w:w="2653" w:type="dxa"/>
            <w:tcBorders>
              <w:top w:val="single" w:color="auto" w:sz="4" w:space="0"/>
              <w:left w:val="single" w:color="auto" w:sz="4" w:space="0"/>
              <w:bottom w:val="single" w:color="auto" w:sz="4" w:space="0"/>
              <w:right w:val="single" w:color="auto" w:sz="4" w:space="0"/>
            </w:tcBorders>
            <w:noWrap w:val="0"/>
            <w:vAlign w:val="center"/>
          </w:tcPr>
          <w:p w14:paraId="4CFEBA1C">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2310" w:type="dxa"/>
            <w:tcBorders>
              <w:top w:val="single" w:color="auto" w:sz="4" w:space="0"/>
              <w:left w:val="single" w:color="auto" w:sz="4" w:space="0"/>
              <w:bottom w:val="single" w:color="auto" w:sz="4" w:space="0"/>
              <w:right w:val="single" w:color="auto" w:sz="4" w:space="0"/>
            </w:tcBorders>
            <w:noWrap w:val="0"/>
            <w:vAlign w:val="center"/>
          </w:tcPr>
          <w:p w14:paraId="229DD32C">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2025" w:type="dxa"/>
            <w:tcBorders>
              <w:top w:val="single" w:color="auto" w:sz="4" w:space="0"/>
              <w:left w:val="single" w:color="auto" w:sz="4" w:space="0"/>
              <w:bottom w:val="single" w:color="auto" w:sz="4" w:space="0"/>
              <w:right w:val="single" w:color="auto" w:sz="4" w:space="0"/>
            </w:tcBorders>
            <w:noWrap w:val="0"/>
            <w:vAlign w:val="center"/>
          </w:tcPr>
          <w:p w14:paraId="09398E97">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14:paraId="20BC4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14:paraId="1E0F4035">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规范性文件</w:t>
            </w:r>
          </w:p>
        </w:tc>
        <w:tc>
          <w:tcPr>
            <w:tcW w:w="2653" w:type="dxa"/>
            <w:tcBorders>
              <w:top w:val="single" w:color="auto" w:sz="4" w:space="0"/>
              <w:left w:val="single" w:color="auto" w:sz="4" w:space="0"/>
              <w:bottom w:val="single" w:color="auto" w:sz="4" w:space="0"/>
              <w:right w:val="single" w:color="auto" w:sz="4" w:space="0"/>
            </w:tcBorders>
            <w:noWrap w:val="0"/>
            <w:vAlign w:val="center"/>
          </w:tcPr>
          <w:p w14:paraId="156C289A">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2310" w:type="dxa"/>
            <w:tcBorders>
              <w:top w:val="single" w:color="auto" w:sz="4" w:space="0"/>
              <w:left w:val="single" w:color="auto" w:sz="4" w:space="0"/>
              <w:bottom w:val="single" w:color="auto" w:sz="4" w:space="0"/>
              <w:right w:val="single" w:color="auto" w:sz="4" w:space="0"/>
            </w:tcBorders>
            <w:noWrap w:val="0"/>
            <w:vAlign w:val="center"/>
          </w:tcPr>
          <w:p w14:paraId="5E84F242">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2025" w:type="dxa"/>
            <w:tcBorders>
              <w:top w:val="single" w:color="auto" w:sz="4" w:space="0"/>
              <w:left w:val="single" w:color="auto" w:sz="4" w:space="0"/>
              <w:bottom w:val="single" w:color="auto" w:sz="4" w:space="0"/>
              <w:right w:val="single" w:color="auto" w:sz="4" w:space="0"/>
            </w:tcBorders>
            <w:noWrap w:val="0"/>
            <w:vAlign w:val="center"/>
          </w:tcPr>
          <w:p w14:paraId="74A1291B">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bookmarkStart w:id="0" w:name="_GoBack"/>
            <w:bookmarkEnd w:id="0"/>
          </w:p>
        </w:tc>
      </w:tr>
      <w:tr w14:paraId="23789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noWrap w:val="0"/>
            <w:vAlign w:val="top"/>
          </w:tcPr>
          <w:p w14:paraId="72B40C1C">
            <w:pPr>
              <w:spacing w:line="400" w:lineRule="exact"/>
              <w:jc w:val="center"/>
              <w:rPr>
                <w:rFonts w:ascii="黑体" w:hAnsi="黑体" w:eastAsia="黑体"/>
                <w:sz w:val="24"/>
                <w:szCs w:val="24"/>
              </w:rPr>
            </w:pPr>
            <w:r>
              <w:rPr>
                <w:rFonts w:hint="eastAsia" w:ascii="黑体" w:hAnsi="黑体" w:eastAsia="黑体" w:cs="黑体"/>
                <w:sz w:val="24"/>
                <w:szCs w:val="24"/>
              </w:rPr>
              <w:t>第二十条第（五）项</w:t>
            </w:r>
          </w:p>
        </w:tc>
      </w:tr>
      <w:tr w14:paraId="025D5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14:paraId="6BF227EA">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noWrap w:val="0"/>
            <w:vAlign w:val="center"/>
          </w:tcPr>
          <w:p w14:paraId="49F3B48B">
            <w:pPr>
              <w:spacing w:line="400" w:lineRule="exact"/>
              <w:jc w:val="center"/>
              <w:rPr>
                <w:rFonts w:ascii="黑体" w:hAnsi="黑体" w:eastAsia="黑体"/>
                <w:sz w:val="24"/>
                <w:szCs w:val="24"/>
              </w:rPr>
            </w:pPr>
            <w:r>
              <w:rPr>
                <w:rFonts w:hint="eastAsia" w:ascii="黑体" w:hAnsi="黑体" w:eastAsia="黑体" w:cs="黑体"/>
                <w:sz w:val="24"/>
                <w:szCs w:val="24"/>
              </w:rPr>
              <w:t>上一年项目数量</w:t>
            </w:r>
          </w:p>
        </w:tc>
        <w:tc>
          <w:tcPr>
            <w:tcW w:w="2310" w:type="dxa"/>
            <w:tcBorders>
              <w:top w:val="single" w:color="auto" w:sz="4" w:space="0"/>
              <w:left w:val="single" w:color="auto" w:sz="4" w:space="0"/>
              <w:bottom w:val="single" w:color="auto" w:sz="4" w:space="0"/>
              <w:right w:val="single" w:color="auto" w:sz="4" w:space="0"/>
            </w:tcBorders>
            <w:noWrap w:val="0"/>
            <w:vAlign w:val="center"/>
          </w:tcPr>
          <w:p w14:paraId="0E771FAC">
            <w:pPr>
              <w:spacing w:line="400" w:lineRule="exact"/>
              <w:jc w:val="center"/>
              <w:rPr>
                <w:rFonts w:ascii="黑体" w:hAnsi="黑体" w:eastAsia="黑体"/>
                <w:sz w:val="24"/>
                <w:szCs w:val="24"/>
              </w:rPr>
            </w:pPr>
            <w:r>
              <w:rPr>
                <w:rFonts w:hint="eastAsia" w:ascii="黑体" w:hAnsi="黑体" w:eastAsia="黑体" w:cs="黑体"/>
                <w:sz w:val="24"/>
                <w:szCs w:val="24"/>
              </w:rPr>
              <w:t>本年增</w:t>
            </w:r>
            <w:r>
              <w:rPr>
                <w:rFonts w:ascii="黑体" w:hAnsi="黑体" w:eastAsia="黑体" w:cs="黑体"/>
                <w:sz w:val="24"/>
                <w:szCs w:val="24"/>
              </w:rPr>
              <w:t>/</w:t>
            </w:r>
            <w:r>
              <w:rPr>
                <w:rFonts w:hint="eastAsia" w:ascii="黑体" w:hAnsi="黑体" w:eastAsia="黑体" w:cs="黑体"/>
                <w:sz w:val="24"/>
                <w:szCs w:val="24"/>
              </w:rPr>
              <w:t>减</w:t>
            </w:r>
          </w:p>
        </w:tc>
        <w:tc>
          <w:tcPr>
            <w:tcW w:w="2025" w:type="dxa"/>
            <w:tcBorders>
              <w:top w:val="single" w:color="auto" w:sz="4" w:space="0"/>
              <w:left w:val="single" w:color="auto" w:sz="4" w:space="0"/>
              <w:bottom w:val="single" w:color="auto" w:sz="4" w:space="0"/>
              <w:right w:val="single" w:color="auto" w:sz="4" w:space="0"/>
            </w:tcBorders>
            <w:noWrap w:val="0"/>
            <w:vAlign w:val="center"/>
          </w:tcPr>
          <w:p w14:paraId="23C9229F">
            <w:pPr>
              <w:spacing w:line="400" w:lineRule="exact"/>
              <w:jc w:val="center"/>
              <w:rPr>
                <w:rFonts w:ascii="黑体" w:hAnsi="黑体" w:eastAsia="黑体"/>
                <w:sz w:val="24"/>
                <w:szCs w:val="24"/>
              </w:rPr>
            </w:pPr>
            <w:r>
              <w:rPr>
                <w:rFonts w:hint="eastAsia" w:ascii="黑体" w:hAnsi="黑体" w:eastAsia="黑体" w:cs="黑体"/>
                <w:sz w:val="24"/>
                <w:szCs w:val="24"/>
              </w:rPr>
              <w:t>处理决定数量</w:t>
            </w:r>
          </w:p>
        </w:tc>
      </w:tr>
      <w:tr w14:paraId="0EB1E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14:paraId="3A06D437">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行政许可</w:t>
            </w:r>
          </w:p>
        </w:tc>
        <w:tc>
          <w:tcPr>
            <w:tcW w:w="2653" w:type="dxa"/>
            <w:tcBorders>
              <w:top w:val="single" w:color="auto" w:sz="4" w:space="0"/>
              <w:left w:val="single" w:color="auto" w:sz="4" w:space="0"/>
              <w:bottom w:val="single" w:color="auto" w:sz="4" w:space="0"/>
              <w:right w:val="single" w:color="auto" w:sz="4" w:space="0"/>
            </w:tcBorders>
            <w:noWrap w:val="0"/>
            <w:vAlign w:val="center"/>
          </w:tcPr>
          <w:p w14:paraId="7860E0C6">
            <w:pPr>
              <w:spacing w:line="400" w:lineRule="exact"/>
              <w:jc w:val="center"/>
              <w:rPr>
                <w:rFonts w:hint="default" w:ascii="仿宋_GB2312" w:hAnsi="仿宋_GB2312" w:eastAsia="仿宋_GB2312"/>
                <w:sz w:val="24"/>
                <w:szCs w:val="24"/>
                <w:highlight w:val="none"/>
                <w:lang w:val="en-US" w:eastAsia="zh-CN"/>
              </w:rPr>
            </w:pPr>
            <w:r>
              <w:rPr>
                <w:rFonts w:hint="eastAsia" w:ascii="仿宋_GB2312" w:hAnsi="仿宋_GB2312" w:eastAsia="仿宋_GB2312"/>
                <w:sz w:val="24"/>
                <w:szCs w:val="24"/>
                <w:highlight w:val="none"/>
                <w:lang w:val="en-US" w:eastAsia="zh-CN"/>
              </w:rPr>
              <w:t>19</w:t>
            </w:r>
          </w:p>
        </w:tc>
        <w:tc>
          <w:tcPr>
            <w:tcW w:w="2310" w:type="dxa"/>
            <w:tcBorders>
              <w:top w:val="single" w:color="auto" w:sz="4" w:space="0"/>
              <w:left w:val="single" w:color="auto" w:sz="4" w:space="0"/>
              <w:bottom w:val="single" w:color="auto" w:sz="4" w:space="0"/>
              <w:right w:val="single" w:color="auto" w:sz="4" w:space="0"/>
            </w:tcBorders>
            <w:noWrap w:val="0"/>
            <w:vAlign w:val="center"/>
          </w:tcPr>
          <w:p w14:paraId="304FC606">
            <w:pPr>
              <w:spacing w:line="400" w:lineRule="exact"/>
              <w:jc w:val="center"/>
              <w:rPr>
                <w:rFonts w:hint="default" w:ascii="仿宋_GB2312" w:hAnsi="仿宋_GB2312" w:eastAsia="仿宋_GB2312"/>
                <w:sz w:val="24"/>
                <w:szCs w:val="24"/>
                <w:highlight w:val="none"/>
                <w:lang w:val="en-US" w:eastAsia="zh-CN"/>
              </w:rPr>
            </w:pPr>
            <w:r>
              <w:rPr>
                <w:rFonts w:hint="eastAsia" w:ascii="仿宋_GB2312" w:hAnsi="仿宋_GB2312" w:eastAsia="仿宋_GB2312"/>
                <w:sz w:val="24"/>
                <w:szCs w:val="24"/>
                <w:highlight w:val="none"/>
                <w:lang w:val="en-US" w:eastAsia="zh-CN"/>
              </w:rPr>
              <w:t>-3</w:t>
            </w:r>
          </w:p>
        </w:tc>
        <w:tc>
          <w:tcPr>
            <w:tcW w:w="2025" w:type="dxa"/>
            <w:tcBorders>
              <w:top w:val="single" w:color="auto" w:sz="4" w:space="0"/>
              <w:left w:val="single" w:color="auto" w:sz="4" w:space="0"/>
              <w:bottom w:val="single" w:color="auto" w:sz="4" w:space="0"/>
              <w:right w:val="single" w:color="auto" w:sz="4" w:space="0"/>
            </w:tcBorders>
            <w:noWrap w:val="0"/>
            <w:vAlign w:val="center"/>
          </w:tcPr>
          <w:p w14:paraId="1D90644C">
            <w:pPr>
              <w:spacing w:line="400" w:lineRule="exact"/>
              <w:jc w:val="center"/>
              <w:rPr>
                <w:rFonts w:hint="default" w:ascii="仿宋_GB2312" w:hAnsi="仿宋_GB2312" w:eastAsia="仿宋_GB2312"/>
                <w:sz w:val="24"/>
                <w:szCs w:val="24"/>
                <w:highlight w:val="none"/>
                <w:lang w:val="en-US" w:eastAsia="zh-CN"/>
              </w:rPr>
            </w:pPr>
            <w:r>
              <w:rPr>
                <w:rFonts w:hint="eastAsia" w:ascii="仿宋_GB2312" w:hAnsi="仿宋_GB2312" w:eastAsia="仿宋_GB2312"/>
                <w:sz w:val="24"/>
                <w:szCs w:val="24"/>
                <w:highlight w:val="none"/>
                <w:lang w:val="en-US" w:eastAsia="zh-CN"/>
              </w:rPr>
              <w:t>1271</w:t>
            </w:r>
          </w:p>
        </w:tc>
      </w:tr>
      <w:tr w14:paraId="76E03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14:paraId="05729436">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其他对外管理服务事项</w:t>
            </w:r>
          </w:p>
        </w:tc>
        <w:tc>
          <w:tcPr>
            <w:tcW w:w="2653" w:type="dxa"/>
            <w:tcBorders>
              <w:top w:val="single" w:color="auto" w:sz="4" w:space="0"/>
              <w:left w:val="single" w:color="auto" w:sz="4" w:space="0"/>
              <w:bottom w:val="single" w:color="auto" w:sz="4" w:space="0"/>
              <w:right w:val="single" w:color="auto" w:sz="4" w:space="0"/>
            </w:tcBorders>
            <w:noWrap w:val="0"/>
            <w:vAlign w:val="center"/>
          </w:tcPr>
          <w:p w14:paraId="301FC1E5">
            <w:pPr>
              <w:spacing w:line="400" w:lineRule="exact"/>
              <w:jc w:val="center"/>
              <w:rPr>
                <w:rFonts w:hint="eastAsia" w:ascii="仿宋_GB2312" w:hAnsi="仿宋_GB2312" w:eastAsia="仿宋_GB2312"/>
                <w:sz w:val="24"/>
                <w:szCs w:val="24"/>
                <w:highlight w:val="none"/>
                <w:lang w:val="en-US" w:eastAsia="zh-CN"/>
              </w:rPr>
            </w:pPr>
            <w:r>
              <w:rPr>
                <w:rFonts w:hint="eastAsia" w:ascii="仿宋_GB2312" w:hAnsi="仿宋_GB2312" w:eastAsia="仿宋_GB2312"/>
                <w:sz w:val="24"/>
                <w:szCs w:val="24"/>
                <w:highlight w:val="none"/>
                <w:lang w:val="en-US" w:eastAsia="zh-CN"/>
              </w:rPr>
              <w:t>3</w:t>
            </w:r>
          </w:p>
        </w:tc>
        <w:tc>
          <w:tcPr>
            <w:tcW w:w="2310" w:type="dxa"/>
            <w:tcBorders>
              <w:top w:val="single" w:color="auto" w:sz="4" w:space="0"/>
              <w:left w:val="single" w:color="auto" w:sz="4" w:space="0"/>
              <w:bottom w:val="single" w:color="auto" w:sz="4" w:space="0"/>
              <w:right w:val="single" w:color="auto" w:sz="4" w:space="0"/>
            </w:tcBorders>
            <w:noWrap w:val="0"/>
            <w:vAlign w:val="center"/>
          </w:tcPr>
          <w:p w14:paraId="7C0D2A1F">
            <w:pPr>
              <w:spacing w:line="400" w:lineRule="exact"/>
              <w:jc w:val="center"/>
              <w:rPr>
                <w:rFonts w:hint="default" w:ascii="仿宋_GB2312" w:hAnsi="仿宋_GB2312" w:eastAsia="仿宋_GB2312"/>
                <w:sz w:val="24"/>
                <w:szCs w:val="24"/>
                <w:highlight w:val="none"/>
                <w:lang w:val="en-US" w:eastAsia="zh-CN"/>
              </w:rPr>
            </w:pPr>
            <w:r>
              <w:rPr>
                <w:rFonts w:hint="eastAsia" w:ascii="仿宋_GB2312" w:hAnsi="仿宋_GB2312" w:eastAsia="仿宋_GB2312"/>
                <w:sz w:val="24"/>
                <w:szCs w:val="24"/>
                <w:highlight w:val="none"/>
                <w:lang w:val="en-US" w:eastAsia="zh-CN"/>
              </w:rPr>
              <w:t>+1</w:t>
            </w:r>
          </w:p>
        </w:tc>
        <w:tc>
          <w:tcPr>
            <w:tcW w:w="2025" w:type="dxa"/>
            <w:tcBorders>
              <w:top w:val="single" w:color="auto" w:sz="4" w:space="0"/>
              <w:left w:val="single" w:color="auto" w:sz="4" w:space="0"/>
              <w:bottom w:val="single" w:color="auto" w:sz="4" w:space="0"/>
              <w:right w:val="single" w:color="auto" w:sz="4" w:space="0"/>
            </w:tcBorders>
            <w:noWrap w:val="0"/>
            <w:vAlign w:val="center"/>
          </w:tcPr>
          <w:p w14:paraId="2C4381EA">
            <w:pPr>
              <w:spacing w:line="400" w:lineRule="exact"/>
              <w:jc w:val="center"/>
              <w:rPr>
                <w:rFonts w:hint="eastAsia" w:ascii="仿宋_GB2312" w:hAnsi="仿宋_GB2312" w:eastAsia="仿宋_GB2312"/>
                <w:sz w:val="24"/>
                <w:szCs w:val="24"/>
                <w:highlight w:val="none"/>
                <w:lang w:val="en-US" w:eastAsia="zh-CN"/>
              </w:rPr>
            </w:pPr>
            <w:r>
              <w:rPr>
                <w:rFonts w:hint="eastAsia" w:ascii="仿宋_GB2312" w:hAnsi="仿宋_GB2312" w:eastAsia="仿宋_GB2312"/>
                <w:sz w:val="24"/>
                <w:szCs w:val="24"/>
                <w:highlight w:val="none"/>
                <w:lang w:val="en-US" w:eastAsia="zh-CN"/>
              </w:rPr>
              <w:t>1</w:t>
            </w:r>
          </w:p>
        </w:tc>
      </w:tr>
      <w:tr w14:paraId="16FD6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noWrap w:val="0"/>
            <w:vAlign w:val="top"/>
          </w:tcPr>
          <w:p w14:paraId="428DAB3C">
            <w:pPr>
              <w:spacing w:line="400" w:lineRule="exact"/>
              <w:jc w:val="center"/>
              <w:rPr>
                <w:rFonts w:ascii="黑体" w:hAnsi="黑体" w:eastAsia="黑体"/>
                <w:sz w:val="24"/>
                <w:szCs w:val="24"/>
              </w:rPr>
            </w:pPr>
            <w:r>
              <w:rPr>
                <w:rFonts w:hint="eastAsia" w:ascii="黑体" w:hAnsi="黑体" w:eastAsia="黑体" w:cs="黑体"/>
                <w:sz w:val="24"/>
                <w:szCs w:val="24"/>
              </w:rPr>
              <w:t>第二十条第（六）项</w:t>
            </w:r>
          </w:p>
        </w:tc>
      </w:tr>
      <w:tr w14:paraId="6A983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14:paraId="3A8214AB">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noWrap w:val="0"/>
            <w:vAlign w:val="center"/>
          </w:tcPr>
          <w:p w14:paraId="050F8355">
            <w:pPr>
              <w:spacing w:line="400" w:lineRule="exact"/>
              <w:jc w:val="center"/>
              <w:rPr>
                <w:rFonts w:ascii="黑体" w:hAnsi="黑体" w:eastAsia="黑体"/>
                <w:sz w:val="24"/>
                <w:szCs w:val="24"/>
              </w:rPr>
            </w:pPr>
            <w:r>
              <w:rPr>
                <w:rFonts w:hint="eastAsia" w:ascii="黑体" w:hAnsi="黑体" w:eastAsia="黑体" w:cs="黑体"/>
                <w:sz w:val="24"/>
                <w:szCs w:val="24"/>
              </w:rPr>
              <w:t>上一年项目数量</w:t>
            </w:r>
          </w:p>
        </w:tc>
        <w:tc>
          <w:tcPr>
            <w:tcW w:w="2310" w:type="dxa"/>
            <w:tcBorders>
              <w:top w:val="single" w:color="auto" w:sz="4" w:space="0"/>
              <w:left w:val="single" w:color="auto" w:sz="4" w:space="0"/>
              <w:bottom w:val="single" w:color="auto" w:sz="4" w:space="0"/>
              <w:right w:val="single" w:color="auto" w:sz="4" w:space="0"/>
            </w:tcBorders>
            <w:noWrap w:val="0"/>
            <w:vAlign w:val="center"/>
          </w:tcPr>
          <w:p w14:paraId="6A441D92">
            <w:pPr>
              <w:spacing w:line="400" w:lineRule="exact"/>
              <w:jc w:val="center"/>
              <w:rPr>
                <w:rFonts w:ascii="黑体" w:hAnsi="黑体" w:eastAsia="黑体"/>
                <w:sz w:val="24"/>
                <w:szCs w:val="24"/>
              </w:rPr>
            </w:pPr>
            <w:r>
              <w:rPr>
                <w:rFonts w:hint="eastAsia" w:ascii="黑体" w:hAnsi="黑体" w:eastAsia="黑体" w:cs="黑体"/>
                <w:sz w:val="24"/>
                <w:szCs w:val="24"/>
              </w:rPr>
              <w:t>本年增</w:t>
            </w:r>
            <w:r>
              <w:rPr>
                <w:rFonts w:ascii="黑体" w:hAnsi="黑体" w:eastAsia="黑体" w:cs="黑体"/>
                <w:sz w:val="24"/>
                <w:szCs w:val="24"/>
              </w:rPr>
              <w:t>/</w:t>
            </w:r>
            <w:r>
              <w:rPr>
                <w:rFonts w:hint="eastAsia" w:ascii="黑体" w:hAnsi="黑体" w:eastAsia="黑体" w:cs="黑体"/>
                <w:sz w:val="24"/>
                <w:szCs w:val="24"/>
              </w:rPr>
              <w:t>减</w:t>
            </w:r>
          </w:p>
        </w:tc>
        <w:tc>
          <w:tcPr>
            <w:tcW w:w="2025" w:type="dxa"/>
            <w:tcBorders>
              <w:top w:val="single" w:color="auto" w:sz="4" w:space="0"/>
              <w:left w:val="single" w:color="auto" w:sz="4" w:space="0"/>
              <w:bottom w:val="single" w:color="auto" w:sz="4" w:space="0"/>
              <w:right w:val="single" w:color="auto" w:sz="4" w:space="0"/>
            </w:tcBorders>
            <w:noWrap w:val="0"/>
            <w:vAlign w:val="center"/>
          </w:tcPr>
          <w:p w14:paraId="4948AAEE">
            <w:pPr>
              <w:spacing w:line="400" w:lineRule="exact"/>
              <w:jc w:val="center"/>
              <w:rPr>
                <w:rFonts w:ascii="黑体" w:hAnsi="黑体" w:eastAsia="黑体"/>
                <w:sz w:val="24"/>
                <w:szCs w:val="24"/>
              </w:rPr>
            </w:pPr>
            <w:r>
              <w:rPr>
                <w:rFonts w:hint="eastAsia" w:ascii="黑体" w:hAnsi="黑体" w:eastAsia="黑体" w:cs="黑体"/>
                <w:sz w:val="24"/>
                <w:szCs w:val="24"/>
              </w:rPr>
              <w:t>处理决定数量</w:t>
            </w:r>
          </w:p>
        </w:tc>
      </w:tr>
      <w:tr w14:paraId="09D57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14:paraId="08767088">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行政处罚</w:t>
            </w:r>
          </w:p>
        </w:tc>
        <w:tc>
          <w:tcPr>
            <w:tcW w:w="2653" w:type="dxa"/>
            <w:tcBorders>
              <w:top w:val="single" w:color="auto" w:sz="4" w:space="0"/>
              <w:left w:val="single" w:color="auto" w:sz="4" w:space="0"/>
              <w:bottom w:val="single" w:color="auto" w:sz="4" w:space="0"/>
              <w:right w:val="single" w:color="auto" w:sz="4" w:space="0"/>
            </w:tcBorders>
            <w:noWrap w:val="0"/>
            <w:vAlign w:val="center"/>
          </w:tcPr>
          <w:p w14:paraId="23E81504">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252</w:t>
            </w:r>
          </w:p>
        </w:tc>
        <w:tc>
          <w:tcPr>
            <w:tcW w:w="2310" w:type="dxa"/>
            <w:tcBorders>
              <w:top w:val="single" w:color="auto" w:sz="4" w:space="0"/>
              <w:left w:val="single" w:color="auto" w:sz="4" w:space="0"/>
              <w:bottom w:val="single" w:color="auto" w:sz="4" w:space="0"/>
              <w:right w:val="single" w:color="auto" w:sz="4" w:space="0"/>
            </w:tcBorders>
            <w:noWrap w:val="0"/>
            <w:vAlign w:val="center"/>
          </w:tcPr>
          <w:p w14:paraId="0734826C">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+48</w:t>
            </w:r>
          </w:p>
        </w:tc>
        <w:tc>
          <w:tcPr>
            <w:tcW w:w="2025" w:type="dxa"/>
            <w:tcBorders>
              <w:top w:val="single" w:color="auto" w:sz="4" w:space="0"/>
              <w:left w:val="single" w:color="auto" w:sz="4" w:space="0"/>
              <w:bottom w:val="single" w:color="auto" w:sz="4" w:space="0"/>
              <w:right w:val="single" w:color="auto" w:sz="4" w:space="0"/>
            </w:tcBorders>
            <w:noWrap w:val="0"/>
            <w:vAlign w:val="center"/>
          </w:tcPr>
          <w:p w14:paraId="3C5CCEF5">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3461</w:t>
            </w:r>
          </w:p>
        </w:tc>
      </w:tr>
      <w:tr w14:paraId="77571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14:paraId="38555278">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行政强制</w:t>
            </w:r>
          </w:p>
        </w:tc>
        <w:tc>
          <w:tcPr>
            <w:tcW w:w="2653" w:type="dxa"/>
            <w:tcBorders>
              <w:top w:val="single" w:color="auto" w:sz="4" w:space="0"/>
              <w:left w:val="single" w:color="auto" w:sz="4" w:space="0"/>
              <w:bottom w:val="single" w:color="auto" w:sz="4" w:space="0"/>
              <w:right w:val="single" w:color="auto" w:sz="4" w:space="0"/>
            </w:tcBorders>
            <w:noWrap w:val="0"/>
            <w:vAlign w:val="center"/>
          </w:tcPr>
          <w:p w14:paraId="05B22F83">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310" w:type="dxa"/>
            <w:tcBorders>
              <w:top w:val="single" w:color="auto" w:sz="4" w:space="0"/>
              <w:left w:val="single" w:color="auto" w:sz="4" w:space="0"/>
              <w:bottom w:val="single" w:color="auto" w:sz="4" w:space="0"/>
              <w:right w:val="single" w:color="auto" w:sz="4" w:space="0"/>
            </w:tcBorders>
            <w:noWrap w:val="0"/>
            <w:vAlign w:val="center"/>
          </w:tcPr>
          <w:p w14:paraId="75A86A4B">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025" w:type="dxa"/>
            <w:tcBorders>
              <w:top w:val="single" w:color="auto" w:sz="4" w:space="0"/>
              <w:left w:val="single" w:color="auto" w:sz="4" w:space="0"/>
              <w:bottom w:val="single" w:color="auto" w:sz="4" w:space="0"/>
              <w:right w:val="single" w:color="auto" w:sz="4" w:space="0"/>
            </w:tcBorders>
            <w:noWrap w:val="0"/>
            <w:vAlign w:val="center"/>
          </w:tcPr>
          <w:p w14:paraId="320DFB51">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12888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noWrap w:val="0"/>
            <w:vAlign w:val="top"/>
          </w:tcPr>
          <w:p w14:paraId="31E91C9D">
            <w:pPr>
              <w:spacing w:line="400" w:lineRule="exact"/>
              <w:jc w:val="center"/>
              <w:rPr>
                <w:rFonts w:ascii="黑体" w:hAnsi="黑体" w:eastAsia="黑体"/>
                <w:sz w:val="24"/>
                <w:szCs w:val="24"/>
              </w:rPr>
            </w:pPr>
            <w:r>
              <w:rPr>
                <w:rFonts w:hint="eastAsia" w:ascii="黑体" w:hAnsi="黑体" w:eastAsia="黑体" w:cs="黑体"/>
                <w:sz w:val="24"/>
                <w:szCs w:val="24"/>
              </w:rPr>
              <w:t>第二十条第（八）项</w:t>
            </w:r>
          </w:p>
        </w:tc>
      </w:tr>
      <w:tr w14:paraId="617F3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14:paraId="00F5A737">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noWrap w:val="0"/>
            <w:vAlign w:val="center"/>
          </w:tcPr>
          <w:p w14:paraId="5861876A">
            <w:pPr>
              <w:spacing w:line="400" w:lineRule="exact"/>
              <w:jc w:val="center"/>
              <w:rPr>
                <w:rFonts w:ascii="黑体" w:hAnsi="黑体" w:eastAsia="黑体"/>
                <w:sz w:val="24"/>
                <w:szCs w:val="24"/>
              </w:rPr>
            </w:pPr>
            <w:r>
              <w:rPr>
                <w:rFonts w:hint="eastAsia" w:ascii="黑体" w:hAnsi="黑体" w:eastAsia="黑体" w:cs="黑体"/>
                <w:sz w:val="24"/>
                <w:szCs w:val="24"/>
              </w:rPr>
              <w:t>上一年项目数量</w:t>
            </w:r>
          </w:p>
        </w:tc>
        <w:tc>
          <w:tcPr>
            <w:tcW w:w="4335" w:type="dxa"/>
            <w:gridSpan w:val="2"/>
            <w:tcBorders>
              <w:top w:val="single" w:color="auto" w:sz="4" w:space="0"/>
              <w:left w:val="single" w:color="auto" w:sz="4" w:space="0"/>
              <w:bottom w:val="single" w:color="auto" w:sz="4" w:space="0"/>
              <w:right w:val="single" w:color="auto" w:sz="4" w:space="0"/>
            </w:tcBorders>
            <w:noWrap w:val="0"/>
            <w:vAlign w:val="center"/>
          </w:tcPr>
          <w:p w14:paraId="0EC65EC6">
            <w:pPr>
              <w:spacing w:line="400" w:lineRule="exact"/>
              <w:jc w:val="center"/>
              <w:rPr>
                <w:rFonts w:ascii="黑体" w:hAnsi="黑体" w:eastAsia="黑体"/>
                <w:sz w:val="24"/>
                <w:szCs w:val="24"/>
              </w:rPr>
            </w:pPr>
            <w:r>
              <w:rPr>
                <w:rFonts w:hint="eastAsia" w:ascii="黑体" w:hAnsi="黑体" w:eastAsia="黑体" w:cs="黑体"/>
                <w:sz w:val="24"/>
                <w:szCs w:val="24"/>
              </w:rPr>
              <w:t>本年增</w:t>
            </w:r>
            <w:r>
              <w:rPr>
                <w:rFonts w:ascii="黑体" w:hAnsi="黑体" w:eastAsia="黑体" w:cs="黑体"/>
                <w:sz w:val="24"/>
                <w:szCs w:val="24"/>
              </w:rPr>
              <w:t>/</w:t>
            </w:r>
            <w:r>
              <w:rPr>
                <w:rFonts w:hint="eastAsia" w:ascii="黑体" w:hAnsi="黑体" w:eastAsia="黑体" w:cs="黑体"/>
                <w:sz w:val="24"/>
                <w:szCs w:val="24"/>
              </w:rPr>
              <w:t>减</w:t>
            </w:r>
          </w:p>
        </w:tc>
      </w:tr>
      <w:tr w14:paraId="36A81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14:paraId="3D0A8D4A">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行政事业性收费</w:t>
            </w:r>
          </w:p>
        </w:tc>
        <w:tc>
          <w:tcPr>
            <w:tcW w:w="2653" w:type="dxa"/>
            <w:tcBorders>
              <w:top w:val="single" w:color="auto" w:sz="4" w:space="0"/>
              <w:left w:val="single" w:color="auto" w:sz="4" w:space="0"/>
              <w:bottom w:val="single" w:color="auto" w:sz="4" w:space="0"/>
              <w:right w:val="single" w:color="auto" w:sz="4" w:space="0"/>
            </w:tcBorders>
            <w:noWrap w:val="0"/>
            <w:vAlign w:val="center"/>
          </w:tcPr>
          <w:p w14:paraId="657617B7">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335" w:type="dxa"/>
            <w:gridSpan w:val="2"/>
            <w:tcBorders>
              <w:top w:val="single" w:color="auto" w:sz="4" w:space="0"/>
              <w:left w:val="single" w:color="auto" w:sz="4" w:space="0"/>
              <w:bottom w:val="single" w:color="auto" w:sz="4" w:space="0"/>
              <w:right w:val="single" w:color="auto" w:sz="4" w:space="0"/>
            </w:tcBorders>
            <w:noWrap w:val="0"/>
            <w:vAlign w:val="center"/>
          </w:tcPr>
          <w:p w14:paraId="0FF533C8">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392AF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9100" w:type="dxa"/>
            <w:gridSpan w:val="4"/>
            <w:tcBorders>
              <w:top w:val="single" w:color="auto" w:sz="4" w:space="0"/>
              <w:left w:val="single" w:color="auto" w:sz="4" w:space="0"/>
              <w:bottom w:val="single" w:color="auto" w:sz="4" w:space="0"/>
              <w:right w:val="single" w:color="auto" w:sz="4" w:space="0"/>
            </w:tcBorders>
            <w:noWrap w:val="0"/>
            <w:vAlign w:val="top"/>
          </w:tcPr>
          <w:p w14:paraId="10C24445">
            <w:pPr>
              <w:spacing w:line="400" w:lineRule="exact"/>
              <w:jc w:val="center"/>
              <w:rPr>
                <w:rFonts w:ascii="黑体" w:hAnsi="黑体" w:eastAsia="黑体"/>
                <w:sz w:val="24"/>
                <w:szCs w:val="24"/>
              </w:rPr>
            </w:pPr>
            <w:r>
              <w:rPr>
                <w:rFonts w:hint="eastAsia" w:ascii="黑体" w:hAnsi="黑体" w:eastAsia="黑体" w:cs="黑体"/>
                <w:sz w:val="24"/>
                <w:szCs w:val="24"/>
              </w:rPr>
              <w:t>第二十条第（九）项</w:t>
            </w:r>
          </w:p>
        </w:tc>
      </w:tr>
      <w:tr w14:paraId="149BE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14:paraId="117604DA">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653" w:type="dxa"/>
            <w:tcBorders>
              <w:top w:val="single" w:color="auto" w:sz="4" w:space="0"/>
              <w:left w:val="single" w:color="auto" w:sz="4" w:space="0"/>
              <w:bottom w:val="single" w:color="auto" w:sz="4" w:space="0"/>
              <w:right w:val="single" w:color="auto" w:sz="4" w:space="0"/>
            </w:tcBorders>
            <w:noWrap w:val="0"/>
            <w:vAlign w:val="center"/>
          </w:tcPr>
          <w:p w14:paraId="2FCF3A55">
            <w:pPr>
              <w:spacing w:line="400" w:lineRule="exact"/>
              <w:jc w:val="center"/>
              <w:rPr>
                <w:rFonts w:ascii="黑体" w:hAnsi="黑体" w:eastAsia="黑体"/>
                <w:sz w:val="24"/>
                <w:szCs w:val="24"/>
              </w:rPr>
            </w:pPr>
            <w:r>
              <w:rPr>
                <w:rFonts w:hint="eastAsia" w:ascii="黑体" w:hAnsi="黑体" w:eastAsia="黑体" w:cs="黑体"/>
                <w:sz w:val="24"/>
                <w:szCs w:val="24"/>
              </w:rPr>
              <w:t>采购项目数量</w:t>
            </w:r>
          </w:p>
        </w:tc>
        <w:tc>
          <w:tcPr>
            <w:tcW w:w="4335" w:type="dxa"/>
            <w:gridSpan w:val="2"/>
            <w:tcBorders>
              <w:top w:val="single" w:color="auto" w:sz="4" w:space="0"/>
              <w:left w:val="single" w:color="auto" w:sz="4" w:space="0"/>
              <w:bottom w:val="single" w:color="auto" w:sz="4" w:space="0"/>
              <w:right w:val="single" w:color="auto" w:sz="4" w:space="0"/>
            </w:tcBorders>
            <w:noWrap w:val="0"/>
            <w:vAlign w:val="center"/>
          </w:tcPr>
          <w:p w14:paraId="4BEE2E44">
            <w:pPr>
              <w:spacing w:line="400" w:lineRule="exact"/>
              <w:jc w:val="center"/>
              <w:rPr>
                <w:rFonts w:ascii="黑体" w:hAnsi="黑体" w:eastAsia="黑体"/>
                <w:sz w:val="24"/>
                <w:szCs w:val="24"/>
              </w:rPr>
            </w:pPr>
            <w:r>
              <w:rPr>
                <w:rFonts w:hint="eastAsia" w:ascii="黑体" w:hAnsi="黑体" w:eastAsia="黑体" w:cs="黑体"/>
                <w:sz w:val="24"/>
                <w:szCs w:val="24"/>
              </w:rPr>
              <w:t>采购总金额</w:t>
            </w:r>
          </w:p>
        </w:tc>
      </w:tr>
      <w:tr w14:paraId="43EB3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112" w:type="dxa"/>
            <w:tcBorders>
              <w:top w:val="single" w:color="auto" w:sz="4" w:space="0"/>
              <w:left w:val="single" w:color="auto" w:sz="4" w:space="0"/>
              <w:bottom w:val="single" w:color="auto" w:sz="4" w:space="0"/>
              <w:right w:val="single" w:color="auto" w:sz="4" w:space="0"/>
            </w:tcBorders>
            <w:noWrap w:val="0"/>
            <w:vAlign w:val="center"/>
          </w:tcPr>
          <w:p w14:paraId="6C9F76E0">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政府集中采购</w:t>
            </w:r>
          </w:p>
        </w:tc>
        <w:tc>
          <w:tcPr>
            <w:tcW w:w="2653" w:type="dxa"/>
            <w:tcBorders>
              <w:top w:val="single" w:color="auto" w:sz="4" w:space="0"/>
              <w:left w:val="single" w:color="auto" w:sz="4" w:space="0"/>
              <w:bottom w:val="single" w:color="auto" w:sz="4" w:space="0"/>
              <w:right w:val="single" w:color="auto" w:sz="4" w:space="0"/>
            </w:tcBorders>
            <w:noWrap w:val="0"/>
            <w:vAlign w:val="center"/>
          </w:tcPr>
          <w:p w14:paraId="3ABB498F">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40</w:t>
            </w:r>
          </w:p>
        </w:tc>
        <w:tc>
          <w:tcPr>
            <w:tcW w:w="4335" w:type="dxa"/>
            <w:gridSpan w:val="2"/>
            <w:tcBorders>
              <w:top w:val="single" w:color="auto" w:sz="4" w:space="0"/>
              <w:left w:val="single" w:color="auto" w:sz="4" w:space="0"/>
              <w:bottom w:val="single" w:color="auto" w:sz="4" w:space="0"/>
              <w:right w:val="single" w:color="auto" w:sz="4" w:space="0"/>
            </w:tcBorders>
            <w:noWrap w:val="0"/>
            <w:vAlign w:val="center"/>
          </w:tcPr>
          <w:p w14:paraId="287D7E94">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274.2万元</w:t>
            </w:r>
          </w:p>
        </w:tc>
      </w:tr>
    </w:tbl>
    <w:p w14:paraId="2CC29D47">
      <w:pPr>
        <w:spacing w:line="560" w:lineRule="exact"/>
        <w:ind w:firstLine="622" w:firstLineChars="200"/>
        <w:jc w:val="left"/>
        <w:rPr>
          <w:rFonts w:ascii="黑体" w:hAnsi="黑体" w:eastAsia="黑体" w:cs="仿宋_GB2312"/>
          <w:bCs/>
          <w:sz w:val="32"/>
          <w:szCs w:val="32"/>
        </w:rPr>
      </w:pPr>
      <w:r>
        <w:rPr>
          <w:rFonts w:hint="eastAsia" w:ascii="黑体" w:hAnsi="黑体" w:eastAsia="黑体" w:cs="仿宋_GB2312"/>
          <w:bCs/>
          <w:sz w:val="32"/>
          <w:szCs w:val="32"/>
        </w:rPr>
        <w:t>三、收到和处理政府信息公开申请情况</w:t>
      </w:r>
    </w:p>
    <w:tbl>
      <w:tblPr>
        <w:tblStyle w:val="3"/>
        <w:tblW w:w="9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908"/>
        <w:gridCol w:w="2262"/>
        <w:gridCol w:w="711"/>
        <w:gridCol w:w="789"/>
        <w:gridCol w:w="720"/>
        <w:gridCol w:w="945"/>
        <w:gridCol w:w="750"/>
        <w:gridCol w:w="465"/>
        <w:gridCol w:w="529"/>
      </w:tblGrid>
      <w:tr w14:paraId="76703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0" w:type="dxa"/>
            <w:gridSpan w:val="3"/>
            <w:vMerge w:val="restart"/>
            <w:tcBorders>
              <w:top w:val="single" w:color="auto" w:sz="4" w:space="0"/>
              <w:left w:val="single" w:color="auto" w:sz="4" w:space="0"/>
              <w:bottom w:val="single" w:color="auto" w:sz="4" w:space="0"/>
              <w:right w:val="single" w:color="auto" w:sz="4" w:space="0"/>
            </w:tcBorders>
            <w:noWrap w:val="0"/>
            <w:vAlign w:val="center"/>
          </w:tcPr>
          <w:p w14:paraId="2594AF6B">
            <w:pPr>
              <w:spacing w:line="400" w:lineRule="exact"/>
              <w:rPr>
                <w:rFonts w:asci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909" w:type="dxa"/>
            <w:gridSpan w:val="7"/>
            <w:tcBorders>
              <w:top w:val="single" w:color="auto" w:sz="4" w:space="0"/>
              <w:left w:val="single" w:color="auto" w:sz="4" w:space="0"/>
              <w:bottom w:val="single" w:color="auto" w:sz="4" w:space="0"/>
              <w:right w:val="single" w:color="auto" w:sz="4" w:space="0"/>
            </w:tcBorders>
            <w:noWrap w:val="0"/>
            <w:vAlign w:val="center"/>
          </w:tcPr>
          <w:p w14:paraId="3FBCF022">
            <w:pPr>
              <w:spacing w:line="400" w:lineRule="exact"/>
              <w:jc w:val="center"/>
              <w:rPr>
                <w:rFonts w:ascii="黑体" w:hAnsi="黑体" w:eastAsia="黑体"/>
                <w:sz w:val="24"/>
                <w:szCs w:val="24"/>
              </w:rPr>
            </w:pPr>
            <w:r>
              <w:rPr>
                <w:rFonts w:hint="eastAsia" w:ascii="黑体" w:hAnsi="黑体" w:eastAsia="黑体" w:cs="黑体"/>
                <w:sz w:val="24"/>
                <w:szCs w:val="24"/>
              </w:rPr>
              <w:t>申请人情况</w:t>
            </w:r>
          </w:p>
        </w:tc>
      </w:tr>
      <w:tr w14:paraId="1D97A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0"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563CD245">
            <w:pPr>
              <w:spacing w:line="400" w:lineRule="exact"/>
              <w:rPr>
                <w:rFonts w:ascii="宋体"/>
                <w:sz w:val="18"/>
                <w:szCs w:val="18"/>
              </w:rPr>
            </w:pPr>
          </w:p>
        </w:tc>
        <w:tc>
          <w:tcPr>
            <w:tcW w:w="711" w:type="dxa"/>
            <w:vMerge w:val="restart"/>
            <w:tcBorders>
              <w:top w:val="single" w:color="auto" w:sz="4" w:space="0"/>
              <w:left w:val="single" w:color="auto" w:sz="4" w:space="0"/>
              <w:bottom w:val="single" w:color="auto" w:sz="4" w:space="0"/>
              <w:right w:val="single" w:color="auto" w:sz="4" w:space="0"/>
            </w:tcBorders>
            <w:noWrap w:val="0"/>
            <w:vAlign w:val="center"/>
          </w:tcPr>
          <w:p w14:paraId="7E8DF7D6">
            <w:pPr>
              <w:spacing w:line="400" w:lineRule="exact"/>
              <w:jc w:val="center"/>
              <w:rPr>
                <w:rFonts w:ascii="黑体" w:hAnsi="黑体" w:eastAsia="黑体"/>
                <w:sz w:val="24"/>
                <w:szCs w:val="24"/>
              </w:rPr>
            </w:pPr>
            <w:r>
              <w:rPr>
                <w:rFonts w:hint="eastAsia" w:ascii="黑体" w:hAnsi="黑体" w:eastAsia="黑体" w:cs="黑体"/>
                <w:sz w:val="24"/>
                <w:szCs w:val="24"/>
              </w:rPr>
              <w:t>自然人</w:t>
            </w:r>
          </w:p>
        </w:tc>
        <w:tc>
          <w:tcPr>
            <w:tcW w:w="3669" w:type="dxa"/>
            <w:gridSpan w:val="5"/>
            <w:tcBorders>
              <w:top w:val="single" w:color="auto" w:sz="4" w:space="0"/>
              <w:left w:val="single" w:color="auto" w:sz="4" w:space="0"/>
              <w:bottom w:val="single" w:color="auto" w:sz="4" w:space="0"/>
              <w:right w:val="single" w:color="auto" w:sz="4" w:space="0"/>
            </w:tcBorders>
            <w:noWrap w:val="0"/>
            <w:vAlign w:val="center"/>
          </w:tcPr>
          <w:p w14:paraId="0322A40C">
            <w:pPr>
              <w:spacing w:line="400" w:lineRule="exact"/>
              <w:jc w:val="center"/>
              <w:rPr>
                <w:rFonts w:ascii="黑体" w:hAnsi="黑体" w:eastAsia="黑体"/>
                <w:sz w:val="24"/>
                <w:szCs w:val="24"/>
              </w:rPr>
            </w:pPr>
            <w:r>
              <w:rPr>
                <w:rFonts w:hint="eastAsia" w:ascii="黑体" w:hAnsi="黑体" w:eastAsia="黑体" w:cs="黑体"/>
                <w:sz w:val="24"/>
                <w:szCs w:val="24"/>
              </w:rPr>
              <w:t>法人或其他组织</w:t>
            </w:r>
          </w:p>
        </w:tc>
        <w:tc>
          <w:tcPr>
            <w:tcW w:w="529" w:type="dxa"/>
            <w:vMerge w:val="restart"/>
            <w:tcBorders>
              <w:top w:val="single" w:color="auto" w:sz="4" w:space="0"/>
              <w:left w:val="single" w:color="auto" w:sz="4" w:space="0"/>
              <w:bottom w:val="single" w:color="auto" w:sz="4" w:space="0"/>
              <w:right w:val="single" w:color="auto" w:sz="4" w:space="0"/>
            </w:tcBorders>
            <w:noWrap w:val="0"/>
            <w:vAlign w:val="center"/>
          </w:tcPr>
          <w:p w14:paraId="6B55BA58">
            <w:pPr>
              <w:spacing w:line="400" w:lineRule="exact"/>
              <w:jc w:val="center"/>
              <w:rPr>
                <w:rFonts w:ascii="黑体" w:hAnsi="黑体" w:eastAsia="黑体"/>
                <w:sz w:val="24"/>
                <w:szCs w:val="24"/>
              </w:rPr>
            </w:pPr>
            <w:r>
              <w:rPr>
                <w:rFonts w:hint="eastAsia" w:ascii="黑体" w:hAnsi="黑体" w:eastAsia="黑体" w:cs="黑体"/>
                <w:sz w:val="24"/>
                <w:szCs w:val="24"/>
              </w:rPr>
              <w:t>总计</w:t>
            </w:r>
          </w:p>
        </w:tc>
      </w:tr>
      <w:tr w14:paraId="23C66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90"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32541BCA">
            <w:pPr>
              <w:spacing w:line="400" w:lineRule="exact"/>
              <w:rPr>
                <w:rFonts w:ascii="宋体"/>
                <w:sz w:val="18"/>
                <w:szCs w:val="18"/>
              </w:rPr>
            </w:pPr>
          </w:p>
        </w:tc>
        <w:tc>
          <w:tcPr>
            <w:tcW w:w="711" w:type="dxa"/>
            <w:vMerge w:val="continue"/>
            <w:tcBorders>
              <w:top w:val="single" w:color="auto" w:sz="4" w:space="0"/>
              <w:left w:val="single" w:color="auto" w:sz="4" w:space="0"/>
              <w:bottom w:val="single" w:color="auto" w:sz="4" w:space="0"/>
              <w:right w:val="single" w:color="auto" w:sz="4" w:space="0"/>
            </w:tcBorders>
            <w:noWrap w:val="0"/>
            <w:vAlign w:val="center"/>
          </w:tcPr>
          <w:p w14:paraId="2402FFBD">
            <w:pPr>
              <w:spacing w:line="400" w:lineRule="exact"/>
              <w:rPr>
                <w:rFonts w:ascii="黑体" w:hAnsi="黑体" w:eastAsia="黑体"/>
                <w:sz w:val="24"/>
                <w:szCs w:val="24"/>
              </w:rPr>
            </w:pPr>
          </w:p>
        </w:tc>
        <w:tc>
          <w:tcPr>
            <w:tcW w:w="789" w:type="dxa"/>
            <w:tcBorders>
              <w:top w:val="single" w:color="auto" w:sz="4" w:space="0"/>
              <w:left w:val="single" w:color="auto" w:sz="4" w:space="0"/>
              <w:bottom w:val="single" w:color="auto" w:sz="4" w:space="0"/>
              <w:right w:val="single" w:color="auto" w:sz="4" w:space="0"/>
            </w:tcBorders>
            <w:noWrap w:val="0"/>
            <w:vAlign w:val="center"/>
          </w:tcPr>
          <w:p w14:paraId="74D8F276">
            <w:pPr>
              <w:spacing w:line="400" w:lineRule="exact"/>
              <w:jc w:val="center"/>
              <w:rPr>
                <w:rFonts w:ascii="黑体" w:hAnsi="黑体" w:eastAsia="黑体"/>
                <w:sz w:val="24"/>
                <w:szCs w:val="24"/>
              </w:rPr>
            </w:pPr>
            <w:r>
              <w:rPr>
                <w:rFonts w:hint="eastAsia" w:ascii="黑体" w:hAnsi="黑体" w:eastAsia="黑体" w:cs="黑体"/>
                <w:sz w:val="24"/>
                <w:szCs w:val="24"/>
              </w:rPr>
              <w:t>商业企业</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213469AC">
            <w:pPr>
              <w:spacing w:line="400" w:lineRule="exact"/>
              <w:jc w:val="center"/>
              <w:rPr>
                <w:rFonts w:ascii="黑体" w:hAnsi="黑体" w:eastAsia="黑体"/>
                <w:sz w:val="24"/>
                <w:szCs w:val="24"/>
              </w:rPr>
            </w:pPr>
            <w:r>
              <w:rPr>
                <w:rFonts w:hint="eastAsia" w:ascii="黑体" w:hAnsi="黑体" w:eastAsia="黑体" w:cs="黑体"/>
                <w:sz w:val="24"/>
                <w:szCs w:val="24"/>
              </w:rPr>
              <w:t>科研机构</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02D58F82">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社会</w:t>
            </w:r>
          </w:p>
          <w:p w14:paraId="6A4DC1CC">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公益</w:t>
            </w:r>
          </w:p>
          <w:p w14:paraId="370ED50E">
            <w:pPr>
              <w:spacing w:line="400" w:lineRule="exact"/>
              <w:jc w:val="center"/>
              <w:rPr>
                <w:rFonts w:ascii="黑体" w:hAnsi="黑体" w:eastAsia="黑体"/>
                <w:sz w:val="24"/>
                <w:szCs w:val="24"/>
              </w:rPr>
            </w:pPr>
            <w:r>
              <w:rPr>
                <w:rFonts w:hint="eastAsia" w:ascii="黑体" w:hAnsi="黑体" w:eastAsia="黑体" w:cs="黑体"/>
                <w:sz w:val="24"/>
                <w:szCs w:val="24"/>
              </w:rPr>
              <w:t>组织</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3C475596">
            <w:pPr>
              <w:spacing w:line="400" w:lineRule="exact"/>
              <w:jc w:val="center"/>
              <w:rPr>
                <w:rFonts w:ascii="黑体" w:hAnsi="黑体" w:eastAsia="黑体"/>
                <w:sz w:val="24"/>
                <w:szCs w:val="24"/>
              </w:rPr>
            </w:pPr>
            <w:r>
              <w:rPr>
                <w:rFonts w:hint="eastAsia" w:ascii="黑体" w:hAnsi="黑体" w:eastAsia="黑体" w:cs="黑体"/>
                <w:sz w:val="24"/>
                <w:szCs w:val="24"/>
              </w:rPr>
              <w:t>法律服务机构</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14FD19C1">
            <w:pPr>
              <w:spacing w:line="400" w:lineRule="exact"/>
              <w:jc w:val="center"/>
              <w:rPr>
                <w:rFonts w:ascii="黑体" w:hAnsi="黑体" w:eastAsia="黑体"/>
                <w:sz w:val="24"/>
                <w:szCs w:val="24"/>
              </w:rPr>
            </w:pPr>
            <w:r>
              <w:rPr>
                <w:rFonts w:hint="eastAsia" w:ascii="黑体" w:hAnsi="黑体" w:eastAsia="黑体" w:cs="黑体"/>
                <w:sz w:val="24"/>
                <w:szCs w:val="24"/>
              </w:rPr>
              <w:t>其他</w:t>
            </w:r>
          </w:p>
        </w:tc>
        <w:tc>
          <w:tcPr>
            <w:tcW w:w="529" w:type="dxa"/>
            <w:vMerge w:val="continue"/>
            <w:tcBorders>
              <w:top w:val="single" w:color="auto" w:sz="4" w:space="0"/>
              <w:left w:val="single" w:color="auto" w:sz="4" w:space="0"/>
              <w:bottom w:val="single" w:color="auto" w:sz="4" w:space="0"/>
              <w:right w:val="single" w:color="auto" w:sz="4" w:space="0"/>
            </w:tcBorders>
            <w:noWrap w:val="0"/>
            <w:vAlign w:val="center"/>
          </w:tcPr>
          <w:p w14:paraId="0D2E6E1C">
            <w:pPr>
              <w:spacing w:line="400" w:lineRule="exact"/>
              <w:rPr>
                <w:rFonts w:ascii="黑体" w:hAnsi="黑体" w:eastAsia="黑体"/>
                <w:sz w:val="24"/>
                <w:szCs w:val="24"/>
              </w:rPr>
            </w:pPr>
          </w:p>
        </w:tc>
      </w:tr>
      <w:tr w14:paraId="5EAE6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90" w:type="dxa"/>
            <w:gridSpan w:val="3"/>
            <w:tcBorders>
              <w:top w:val="single" w:color="auto" w:sz="4" w:space="0"/>
              <w:left w:val="single" w:color="auto" w:sz="4" w:space="0"/>
              <w:bottom w:val="single" w:color="auto" w:sz="4" w:space="0"/>
              <w:right w:val="single" w:color="auto" w:sz="4" w:space="0"/>
            </w:tcBorders>
            <w:noWrap w:val="0"/>
            <w:vAlign w:val="center"/>
          </w:tcPr>
          <w:p w14:paraId="7B24DE49">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一、本年新收到政府信息公开申请数量</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546FD326">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3</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6BBC579C">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1E0F2A10">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520737D7">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53094894">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558037C0">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2B605996">
            <w:pPr>
              <w:spacing w:line="400" w:lineRule="exact"/>
              <w:jc w:val="center"/>
              <w:rPr>
                <w:rFonts w:hint="default"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3</w:t>
            </w:r>
          </w:p>
        </w:tc>
      </w:tr>
      <w:tr w14:paraId="44BF5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90" w:type="dxa"/>
            <w:gridSpan w:val="3"/>
            <w:tcBorders>
              <w:top w:val="single" w:color="auto" w:sz="4" w:space="0"/>
              <w:left w:val="single" w:color="auto" w:sz="4" w:space="0"/>
              <w:bottom w:val="single" w:color="auto" w:sz="4" w:space="0"/>
              <w:right w:val="single" w:color="auto" w:sz="4" w:space="0"/>
            </w:tcBorders>
            <w:noWrap w:val="0"/>
            <w:vAlign w:val="center"/>
          </w:tcPr>
          <w:p w14:paraId="25A104F9">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二、上年转结政府信息公开申请数量</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71ADEEEF">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04C2F2ED">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605A0F5A">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5E934F02">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3C1E5EAE">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22E9C3F6">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4B2E7886">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3408C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restart"/>
            <w:tcBorders>
              <w:top w:val="single" w:color="auto" w:sz="4" w:space="0"/>
              <w:left w:val="single" w:color="auto" w:sz="4" w:space="0"/>
              <w:bottom w:val="single" w:color="auto" w:sz="4" w:space="0"/>
              <w:right w:val="single" w:color="auto" w:sz="4" w:space="0"/>
            </w:tcBorders>
            <w:noWrap w:val="0"/>
            <w:vAlign w:val="center"/>
          </w:tcPr>
          <w:p w14:paraId="004DE242">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三、本年度办理结果</w:t>
            </w:r>
          </w:p>
        </w:tc>
        <w:tc>
          <w:tcPr>
            <w:tcW w:w="3170" w:type="dxa"/>
            <w:gridSpan w:val="2"/>
            <w:tcBorders>
              <w:top w:val="single" w:color="auto" w:sz="4" w:space="0"/>
              <w:left w:val="single" w:color="auto" w:sz="4" w:space="0"/>
              <w:bottom w:val="single" w:color="auto" w:sz="4" w:space="0"/>
              <w:right w:val="single" w:color="auto" w:sz="4" w:space="0"/>
            </w:tcBorders>
            <w:noWrap w:val="0"/>
            <w:vAlign w:val="center"/>
          </w:tcPr>
          <w:p w14:paraId="46771097">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（一）予以公开</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1B25E939">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5222A5B3">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59649B33">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09ACCBED">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5429D407">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2326A963">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64D4FEA4">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r>
      <w:tr w14:paraId="41B8C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339E9B45">
            <w:pPr>
              <w:spacing w:line="400" w:lineRule="exact"/>
              <w:rPr>
                <w:rFonts w:ascii="仿宋_GB2312" w:hAnsi="仿宋_GB2312" w:eastAsia="仿宋_GB2312"/>
                <w:sz w:val="24"/>
                <w:szCs w:val="24"/>
              </w:rPr>
            </w:pPr>
          </w:p>
        </w:tc>
        <w:tc>
          <w:tcPr>
            <w:tcW w:w="3170" w:type="dxa"/>
            <w:gridSpan w:val="2"/>
            <w:tcBorders>
              <w:top w:val="single" w:color="auto" w:sz="4" w:space="0"/>
              <w:left w:val="single" w:color="auto" w:sz="4" w:space="0"/>
              <w:bottom w:val="single" w:color="auto" w:sz="4" w:space="0"/>
              <w:right w:val="single" w:color="auto" w:sz="4" w:space="0"/>
            </w:tcBorders>
            <w:noWrap w:val="0"/>
            <w:vAlign w:val="center"/>
          </w:tcPr>
          <w:p w14:paraId="5B642B46">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0098A7AB">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5B890B42">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28392E12">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48BB742C">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7892CD60">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5B6A2592">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33D24742">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7D390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04F91EC3">
            <w:pPr>
              <w:spacing w:line="400" w:lineRule="exact"/>
              <w:rPr>
                <w:rFonts w:ascii="仿宋_GB2312" w:hAnsi="仿宋_GB2312" w:eastAsia="仿宋_GB2312"/>
                <w:sz w:val="24"/>
                <w:szCs w:val="24"/>
              </w:rPr>
            </w:pPr>
          </w:p>
        </w:tc>
        <w:tc>
          <w:tcPr>
            <w:tcW w:w="908" w:type="dxa"/>
            <w:vMerge w:val="restart"/>
            <w:tcBorders>
              <w:top w:val="single" w:color="auto" w:sz="4" w:space="0"/>
              <w:left w:val="single" w:color="auto" w:sz="4" w:space="0"/>
              <w:bottom w:val="single" w:color="auto" w:sz="4" w:space="0"/>
              <w:right w:val="single" w:color="auto" w:sz="4" w:space="0"/>
            </w:tcBorders>
            <w:noWrap w:val="0"/>
            <w:vAlign w:val="center"/>
          </w:tcPr>
          <w:p w14:paraId="2463DC97">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（三）不予</w:t>
            </w:r>
          </w:p>
          <w:p w14:paraId="471B509E">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公开</w:t>
            </w:r>
          </w:p>
        </w:tc>
        <w:tc>
          <w:tcPr>
            <w:tcW w:w="2262" w:type="dxa"/>
            <w:tcBorders>
              <w:top w:val="single" w:color="auto" w:sz="4" w:space="0"/>
              <w:left w:val="single" w:color="auto" w:sz="4" w:space="0"/>
              <w:bottom w:val="single" w:color="auto" w:sz="4" w:space="0"/>
              <w:right w:val="single" w:color="auto" w:sz="4" w:space="0"/>
            </w:tcBorders>
            <w:noWrap w:val="0"/>
            <w:vAlign w:val="center"/>
          </w:tcPr>
          <w:p w14:paraId="65667D75">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6895AECF">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38150534">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56D7F228">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34D837FB">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50D00EBA">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580AEBD5">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6CB1146C">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14:paraId="63D71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054C0C8D">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14:paraId="27020128">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14:paraId="571FFAB1">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554B3D37">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360CA2FA">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475C3745">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2FA14010">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1378FB82">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7B9F3D49">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07649484">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14:paraId="14573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5DB06729">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14:paraId="6B826315">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14:paraId="3A9A376D">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1D5FC189">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3F912A75">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015764B6">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220B52F7">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754BAE0B">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42848C51">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2C4E728B">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14:paraId="7C1A4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3CD32E3F">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14:paraId="75D6C7DD">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14:paraId="2A89308D">
            <w:pPr>
              <w:spacing w:line="400" w:lineRule="exact"/>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36E10E29">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669F9DC9">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55D3A714">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06E1E6DF">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0376D153">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662563AF">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0B55DDAD">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14:paraId="70D25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3EDE87A1">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14:paraId="079FE994">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14:paraId="30B1A8C3">
            <w:pPr>
              <w:spacing w:line="400" w:lineRule="exact"/>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1F8EF02F">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7BD4B227">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1347B46B">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40878C89">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01FF8F17">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704B2F9B">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4A4BFD1B">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14:paraId="477CD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20302CB7">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14:paraId="16949988">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14:paraId="7B3D4DC7">
            <w:pPr>
              <w:spacing w:line="400" w:lineRule="exact"/>
              <w:rPr>
                <w:rFonts w:ascii="仿宋_GB2312" w:hAnsi="仿宋_GB2312" w:eastAsia="仿宋_GB2312"/>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55835F07">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053BF80F">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225D66B9">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7D316ACF">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2CC24748">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1634DFFB">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2EE1BF5D">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14:paraId="49F5E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5DCC970F">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14:paraId="064C42E3">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14:paraId="71011C62">
            <w:pPr>
              <w:spacing w:line="400" w:lineRule="exact"/>
              <w:rPr>
                <w:rFonts w:ascii="仿宋_GB2312" w:hAnsi="仿宋_GB2312" w:eastAsia="仿宋_GB2312"/>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09BEB024">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5C715099">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34CE1072">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3D7235EC">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6FF0D02D">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58716A1A">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6028D393">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14:paraId="3441F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00F5A9EB">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14:paraId="35191364">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14:paraId="4ED3307D">
            <w:pPr>
              <w:spacing w:line="400" w:lineRule="exact"/>
              <w:rPr>
                <w:rFonts w:ascii="仿宋_GB2312" w:hAnsi="仿宋_GB2312" w:eastAsia="仿宋_GB2312"/>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07829F84">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7E72E2F5">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4EA099BB">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039CD9FE">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45F3B81A">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18CA179D">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1B0EF9E6">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14:paraId="48FA8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62E62980">
            <w:pPr>
              <w:spacing w:line="400" w:lineRule="exact"/>
              <w:rPr>
                <w:rFonts w:ascii="仿宋_GB2312" w:hAnsi="仿宋_GB2312" w:eastAsia="仿宋_GB2312"/>
                <w:sz w:val="24"/>
                <w:szCs w:val="24"/>
              </w:rPr>
            </w:pPr>
          </w:p>
        </w:tc>
        <w:tc>
          <w:tcPr>
            <w:tcW w:w="908" w:type="dxa"/>
            <w:vMerge w:val="restart"/>
            <w:tcBorders>
              <w:top w:val="single" w:color="auto" w:sz="4" w:space="0"/>
              <w:left w:val="single" w:color="auto" w:sz="4" w:space="0"/>
              <w:bottom w:val="single" w:color="auto" w:sz="4" w:space="0"/>
              <w:right w:val="single" w:color="auto" w:sz="4" w:space="0"/>
            </w:tcBorders>
            <w:noWrap w:val="0"/>
            <w:vAlign w:val="center"/>
          </w:tcPr>
          <w:p w14:paraId="5428F108">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（四）无法</w:t>
            </w:r>
          </w:p>
          <w:p w14:paraId="64133548">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提供</w:t>
            </w:r>
          </w:p>
        </w:tc>
        <w:tc>
          <w:tcPr>
            <w:tcW w:w="2262" w:type="dxa"/>
            <w:tcBorders>
              <w:top w:val="single" w:color="auto" w:sz="4" w:space="0"/>
              <w:left w:val="single" w:color="auto" w:sz="4" w:space="0"/>
              <w:bottom w:val="single" w:color="auto" w:sz="4" w:space="0"/>
              <w:right w:val="single" w:color="auto" w:sz="4" w:space="0"/>
            </w:tcBorders>
            <w:noWrap w:val="0"/>
            <w:vAlign w:val="center"/>
          </w:tcPr>
          <w:p w14:paraId="2B435A26">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71A3199A">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1</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787DDE7C">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329C9ABC">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7ACDE2D0">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74FC63E5">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746EAB9E">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1CD6980C">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1</w:t>
            </w:r>
          </w:p>
        </w:tc>
      </w:tr>
      <w:tr w14:paraId="5ECAC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0EF82EA6">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14:paraId="31E9CCB0">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14:paraId="494D24FA">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029801B9">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22C491CF">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3A401C81">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7ECD124D">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46C50C6D">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15764678">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16C1FF3A">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14:paraId="4B7C1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5395554F">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14:paraId="439C6881">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14:paraId="1D5A85F5">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7A92E0F7">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5EE25714">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2DA9F148">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53CD657C">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11DDA44A">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1E4C6ED1">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4F65A4A7">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14:paraId="36767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1BE41CD6">
            <w:pPr>
              <w:spacing w:line="400" w:lineRule="exact"/>
              <w:rPr>
                <w:rFonts w:ascii="仿宋_GB2312" w:hAnsi="仿宋_GB2312" w:eastAsia="仿宋_GB2312"/>
                <w:sz w:val="24"/>
                <w:szCs w:val="24"/>
              </w:rPr>
            </w:pPr>
          </w:p>
        </w:tc>
        <w:tc>
          <w:tcPr>
            <w:tcW w:w="908" w:type="dxa"/>
            <w:vMerge w:val="restart"/>
            <w:tcBorders>
              <w:top w:val="single" w:color="auto" w:sz="4" w:space="0"/>
              <w:left w:val="single" w:color="auto" w:sz="4" w:space="0"/>
              <w:bottom w:val="single" w:color="auto" w:sz="4" w:space="0"/>
              <w:right w:val="single" w:color="auto" w:sz="4" w:space="0"/>
            </w:tcBorders>
            <w:noWrap w:val="0"/>
            <w:vAlign w:val="center"/>
          </w:tcPr>
          <w:p w14:paraId="19B0D214">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（五）不予</w:t>
            </w:r>
          </w:p>
          <w:p w14:paraId="022452AB">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处理</w:t>
            </w:r>
          </w:p>
        </w:tc>
        <w:tc>
          <w:tcPr>
            <w:tcW w:w="2262" w:type="dxa"/>
            <w:tcBorders>
              <w:top w:val="single" w:color="auto" w:sz="4" w:space="0"/>
              <w:left w:val="single" w:color="auto" w:sz="4" w:space="0"/>
              <w:bottom w:val="single" w:color="auto" w:sz="4" w:space="0"/>
              <w:right w:val="single" w:color="auto" w:sz="4" w:space="0"/>
            </w:tcBorders>
            <w:noWrap w:val="0"/>
            <w:vAlign w:val="center"/>
          </w:tcPr>
          <w:p w14:paraId="546515AC">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7AC1CE42">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34CA81A4">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2965C4B8">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3F74EF6A">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7D3602FC">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65970976">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605BE444">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14:paraId="3DE83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410B3E77">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14:paraId="2D7A4FF0">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14:paraId="49E58A22">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103F649E">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2F939419">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001B7D7B">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1391E4C3">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0D8C5297">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36E60968">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5ED74A44">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14:paraId="5028F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17382D47">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14:paraId="69A18342">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14:paraId="36F65923">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66C64B3B">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6B67E8B3">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4570C343">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323D6688">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51172591">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3B19A6D0">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26B1C866">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14:paraId="2C021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5DA86F96">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14:paraId="53D71EFE">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14:paraId="237403EF">
            <w:pPr>
              <w:spacing w:line="400" w:lineRule="exact"/>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1060D1C7">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1C86FE5C">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064E3097">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028353A8">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6A7D3E70">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67B4F825">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565541BF">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14:paraId="35BA4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5BC2A283">
            <w:pPr>
              <w:spacing w:line="400" w:lineRule="exact"/>
              <w:rPr>
                <w:rFonts w:ascii="仿宋_GB2312" w:hAnsi="仿宋_GB2312" w:eastAsia="仿宋_GB2312"/>
                <w:sz w:val="24"/>
                <w:szCs w:val="24"/>
              </w:rPr>
            </w:pPr>
          </w:p>
        </w:tc>
        <w:tc>
          <w:tcPr>
            <w:tcW w:w="908" w:type="dxa"/>
            <w:vMerge w:val="continue"/>
            <w:tcBorders>
              <w:top w:val="single" w:color="auto" w:sz="4" w:space="0"/>
              <w:left w:val="single" w:color="auto" w:sz="4" w:space="0"/>
              <w:bottom w:val="single" w:color="auto" w:sz="4" w:space="0"/>
              <w:right w:val="single" w:color="auto" w:sz="4" w:space="0"/>
            </w:tcBorders>
            <w:noWrap w:val="0"/>
            <w:vAlign w:val="center"/>
          </w:tcPr>
          <w:p w14:paraId="321FF9D2">
            <w:pPr>
              <w:spacing w:line="400" w:lineRule="exact"/>
              <w:rPr>
                <w:rFonts w:ascii="仿宋_GB2312" w:hAnsi="仿宋_GB2312" w:eastAsia="仿宋_GB2312"/>
                <w:sz w:val="24"/>
                <w:szCs w:val="24"/>
              </w:rPr>
            </w:pPr>
          </w:p>
        </w:tc>
        <w:tc>
          <w:tcPr>
            <w:tcW w:w="2262" w:type="dxa"/>
            <w:tcBorders>
              <w:top w:val="single" w:color="auto" w:sz="4" w:space="0"/>
              <w:left w:val="single" w:color="auto" w:sz="4" w:space="0"/>
              <w:bottom w:val="single" w:color="auto" w:sz="4" w:space="0"/>
              <w:right w:val="single" w:color="auto" w:sz="4" w:space="0"/>
            </w:tcBorders>
            <w:noWrap w:val="0"/>
            <w:vAlign w:val="center"/>
          </w:tcPr>
          <w:p w14:paraId="1B7A0D68">
            <w:pPr>
              <w:spacing w:line="400" w:lineRule="exact"/>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56922BD6">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45AA639D">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44B68101">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665748A4">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63297584">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158B876C">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3DEE6BED">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14:paraId="5F72C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1679DF94">
            <w:pPr>
              <w:spacing w:line="400" w:lineRule="exact"/>
              <w:rPr>
                <w:rFonts w:ascii="仿宋_GB2312" w:hAnsi="仿宋_GB2312" w:eastAsia="仿宋_GB2312"/>
                <w:sz w:val="24"/>
                <w:szCs w:val="24"/>
              </w:rPr>
            </w:pPr>
          </w:p>
        </w:tc>
        <w:tc>
          <w:tcPr>
            <w:tcW w:w="3170" w:type="dxa"/>
            <w:gridSpan w:val="2"/>
            <w:tcBorders>
              <w:top w:val="single" w:color="auto" w:sz="4" w:space="0"/>
              <w:left w:val="single" w:color="auto" w:sz="4" w:space="0"/>
              <w:bottom w:val="single" w:color="auto" w:sz="4" w:space="0"/>
              <w:right w:val="single" w:color="auto" w:sz="4" w:space="0"/>
            </w:tcBorders>
            <w:noWrap w:val="0"/>
            <w:vAlign w:val="center"/>
          </w:tcPr>
          <w:p w14:paraId="03AD3F8A">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（六）其他处理</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2A041700">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6B015CA4">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3EB1E0D1">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12630BDC">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04B49AD9">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188244FB">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6AB64F4E">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14:paraId="0A4A2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20" w:type="dxa"/>
            <w:vMerge w:val="continue"/>
            <w:tcBorders>
              <w:top w:val="single" w:color="auto" w:sz="4" w:space="0"/>
              <w:left w:val="single" w:color="auto" w:sz="4" w:space="0"/>
              <w:bottom w:val="single" w:color="auto" w:sz="4" w:space="0"/>
              <w:right w:val="single" w:color="auto" w:sz="4" w:space="0"/>
            </w:tcBorders>
            <w:noWrap w:val="0"/>
            <w:vAlign w:val="center"/>
          </w:tcPr>
          <w:p w14:paraId="02E24F26">
            <w:pPr>
              <w:spacing w:line="400" w:lineRule="exact"/>
              <w:rPr>
                <w:rFonts w:ascii="仿宋_GB2312" w:hAnsi="仿宋_GB2312" w:eastAsia="仿宋_GB2312"/>
                <w:sz w:val="24"/>
                <w:szCs w:val="24"/>
              </w:rPr>
            </w:pPr>
          </w:p>
        </w:tc>
        <w:tc>
          <w:tcPr>
            <w:tcW w:w="3170" w:type="dxa"/>
            <w:gridSpan w:val="2"/>
            <w:tcBorders>
              <w:top w:val="single" w:color="auto" w:sz="4" w:space="0"/>
              <w:left w:val="single" w:color="auto" w:sz="4" w:space="0"/>
              <w:bottom w:val="single" w:color="auto" w:sz="4" w:space="0"/>
              <w:right w:val="single" w:color="auto" w:sz="4" w:space="0"/>
            </w:tcBorders>
            <w:noWrap w:val="0"/>
            <w:vAlign w:val="center"/>
          </w:tcPr>
          <w:p w14:paraId="4382D518">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（七）总计</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3A91EA50">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3</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70648757">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4CB283D6">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307DC738">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22919BCF">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7A17FC41">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4A6DE48C">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w:t>
            </w:r>
          </w:p>
        </w:tc>
      </w:tr>
      <w:tr w14:paraId="2473A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90" w:type="dxa"/>
            <w:gridSpan w:val="3"/>
            <w:tcBorders>
              <w:top w:val="single" w:color="auto" w:sz="4" w:space="0"/>
              <w:left w:val="single" w:color="auto" w:sz="4" w:space="0"/>
              <w:bottom w:val="single" w:color="auto" w:sz="4" w:space="0"/>
              <w:right w:val="single" w:color="auto" w:sz="4" w:space="0"/>
            </w:tcBorders>
            <w:noWrap w:val="0"/>
            <w:vAlign w:val="center"/>
          </w:tcPr>
          <w:p w14:paraId="67FF2F9C">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四、转结下年度继续办理</w:t>
            </w:r>
          </w:p>
        </w:tc>
        <w:tc>
          <w:tcPr>
            <w:tcW w:w="711" w:type="dxa"/>
            <w:tcBorders>
              <w:top w:val="single" w:color="auto" w:sz="4" w:space="0"/>
              <w:left w:val="single" w:color="auto" w:sz="4" w:space="0"/>
              <w:bottom w:val="single" w:color="auto" w:sz="4" w:space="0"/>
              <w:right w:val="single" w:color="auto" w:sz="4" w:space="0"/>
            </w:tcBorders>
            <w:noWrap w:val="0"/>
            <w:vAlign w:val="center"/>
          </w:tcPr>
          <w:p w14:paraId="1E5AA205">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89" w:type="dxa"/>
            <w:tcBorders>
              <w:top w:val="single" w:color="auto" w:sz="4" w:space="0"/>
              <w:left w:val="single" w:color="auto" w:sz="4" w:space="0"/>
              <w:bottom w:val="single" w:color="auto" w:sz="4" w:space="0"/>
              <w:right w:val="single" w:color="auto" w:sz="4" w:space="0"/>
            </w:tcBorders>
            <w:noWrap w:val="0"/>
            <w:vAlign w:val="center"/>
          </w:tcPr>
          <w:p w14:paraId="1FADDB6A">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20" w:type="dxa"/>
            <w:tcBorders>
              <w:top w:val="single" w:color="auto" w:sz="4" w:space="0"/>
              <w:left w:val="single" w:color="auto" w:sz="4" w:space="0"/>
              <w:bottom w:val="single" w:color="auto" w:sz="4" w:space="0"/>
              <w:right w:val="single" w:color="auto" w:sz="4" w:space="0"/>
            </w:tcBorders>
            <w:noWrap w:val="0"/>
            <w:vAlign w:val="center"/>
          </w:tcPr>
          <w:p w14:paraId="5D988209">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45" w:type="dxa"/>
            <w:tcBorders>
              <w:top w:val="single" w:color="auto" w:sz="4" w:space="0"/>
              <w:left w:val="single" w:color="auto" w:sz="4" w:space="0"/>
              <w:bottom w:val="single" w:color="auto" w:sz="4" w:space="0"/>
              <w:right w:val="single" w:color="auto" w:sz="4" w:space="0"/>
            </w:tcBorders>
            <w:noWrap w:val="0"/>
            <w:vAlign w:val="center"/>
          </w:tcPr>
          <w:p w14:paraId="190476D5">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50" w:type="dxa"/>
            <w:tcBorders>
              <w:top w:val="single" w:color="auto" w:sz="4" w:space="0"/>
              <w:left w:val="single" w:color="auto" w:sz="4" w:space="0"/>
              <w:bottom w:val="single" w:color="auto" w:sz="4" w:space="0"/>
              <w:right w:val="single" w:color="auto" w:sz="4" w:space="0"/>
            </w:tcBorders>
            <w:noWrap w:val="0"/>
            <w:vAlign w:val="center"/>
          </w:tcPr>
          <w:p w14:paraId="72C5D186">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5" w:type="dxa"/>
            <w:tcBorders>
              <w:top w:val="single" w:color="auto" w:sz="4" w:space="0"/>
              <w:left w:val="single" w:color="auto" w:sz="4" w:space="0"/>
              <w:bottom w:val="single" w:color="auto" w:sz="4" w:space="0"/>
              <w:right w:val="single" w:color="auto" w:sz="4" w:space="0"/>
            </w:tcBorders>
            <w:noWrap w:val="0"/>
            <w:vAlign w:val="center"/>
          </w:tcPr>
          <w:p w14:paraId="22CD3DF6">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29" w:type="dxa"/>
            <w:tcBorders>
              <w:top w:val="single" w:color="auto" w:sz="4" w:space="0"/>
              <w:left w:val="single" w:color="auto" w:sz="4" w:space="0"/>
              <w:bottom w:val="single" w:color="auto" w:sz="4" w:space="0"/>
              <w:right w:val="single" w:color="auto" w:sz="4" w:space="0"/>
            </w:tcBorders>
            <w:noWrap w:val="0"/>
            <w:vAlign w:val="center"/>
          </w:tcPr>
          <w:p w14:paraId="62344423">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bl>
    <w:p w14:paraId="0FBA99C7">
      <w:pPr>
        <w:spacing w:line="560" w:lineRule="exact"/>
        <w:ind w:firstLine="622" w:firstLineChars="200"/>
        <w:rPr>
          <w:rFonts w:ascii="黑体" w:hAnsi="黑体" w:eastAsia="黑体" w:cs="仿宋_GB2312"/>
          <w:bCs/>
          <w:sz w:val="32"/>
          <w:szCs w:val="32"/>
        </w:rPr>
      </w:pPr>
      <w:r>
        <w:rPr>
          <w:rFonts w:hint="eastAsia" w:ascii="黑体" w:hAnsi="黑体" w:eastAsia="黑体" w:cs="仿宋_GB2312"/>
          <w:bCs/>
          <w:sz w:val="32"/>
          <w:szCs w:val="32"/>
        </w:rPr>
        <w:t>四、政府信息公开行政复议、行政诉讼情况</w:t>
      </w:r>
    </w:p>
    <w:tbl>
      <w:tblPr>
        <w:tblStyle w:val="3"/>
        <w:tblW w:w="907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601"/>
        <w:gridCol w:w="601"/>
        <w:gridCol w:w="601"/>
        <w:gridCol w:w="601"/>
        <w:gridCol w:w="671"/>
        <w:gridCol w:w="545"/>
        <w:gridCol w:w="602"/>
        <w:gridCol w:w="602"/>
        <w:gridCol w:w="602"/>
        <w:gridCol w:w="620"/>
        <w:gridCol w:w="602"/>
        <w:gridCol w:w="602"/>
        <w:gridCol w:w="602"/>
        <w:gridCol w:w="603"/>
        <w:gridCol w:w="624"/>
      </w:tblGrid>
      <w:tr w14:paraId="408931B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82" w:hRule="atLeast"/>
          <w:jc w:val="center"/>
        </w:trPr>
        <w:tc>
          <w:tcPr>
            <w:tcW w:w="307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CC4D815">
            <w:pPr>
              <w:spacing w:line="400" w:lineRule="exact"/>
              <w:jc w:val="center"/>
              <w:rPr>
                <w:rFonts w:ascii="黑体" w:hAnsi="黑体" w:eastAsia="黑体" w:cs="黑体"/>
                <w:sz w:val="24"/>
                <w:szCs w:val="24"/>
              </w:rPr>
            </w:pPr>
            <w:r>
              <w:rPr>
                <w:rFonts w:hint="eastAsia" w:ascii="黑体" w:hAnsi="黑体" w:eastAsia="黑体" w:cs="黑体"/>
                <w:sz w:val="24"/>
                <w:szCs w:val="24"/>
              </w:rPr>
              <w:t>行政复议</w:t>
            </w:r>
          </w:p>
        </w:tc>
        <w:tc>
          <w:tcPr>
            <w:tcW w:w="6004"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FC4C1AB">
            <w:pPr>
              <w:spacing w:line="400" w:lineRule="exact"/>
              <w:jc w:val="center"/>
              <w:rPr>
                <w:rFonts w:ascii="黑体" w:hAnsi="黑体" w:eastAsia="黑体" w:cs="黑体"/>
                <w:sz w:val="24"/>
                <w:szCs w:val="24"/>
              </w:rPr>
            </w:pPr>
            <w:r>
              <w:rPr>
                <w:rFonts w:hint="eastAsia" w:ascii="黑体" w:hAnsi="黑体" w:eastAsia="黑体" w:cs="黑体"/>
                <w:sz w:val="24"/>
                <w:szCs w:val="24"/>
              </w:rPr>
              <w:t>行政诉讼</w:t>
            </w:r>
          </w:p>
        </w:tc>
      </w:tr>
      <w:tr w14:paraId="65A59E7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82" w:hRule="atLeast"/>
          <w:jc w:val="center"/>
        </w:trPr>
        <w:tc>
          <w:tcPr>
            <w:tcW w:w="60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AB18BCD">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60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2166AE6">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60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1C93953">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60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A310CD5">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7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78509BF">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971"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79CEF82">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303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435FC3E">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14:paraId="4C8E90D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651" w:hRule="atLeast"/>
          <w:jc w:val="center"/>
        </w:trPr>
        <w:tc>
          <w:tcPr>
            <w:tcW w:w="60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B7996BD">
            <w:pPr>
              <w:spacing w:line="400" w:lineRule="exact"/>
              <w:jc w:val="center"/>
              <w:rPr>
                <w:rFonts w:ascii="仿宋_GB2312" w:hAnsi="仿宋_GB2312" w:eastAsia="仿宋_GB2312" w:cs="仿宋_GB2312"/>
                <w:sz w:val="24"/>
                <w:szCs w:val="24"/>
              </w:rPr>
            </w:pPr>
          </w:p>
        </w:tc>
        <w:tc>
          <w:tcPr>
            <w:tcW w:w="60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2BE1303">
            <w:pPr>
              <w:spacing w:line="400" w:lineRule="exact"/>
              <w:jc w:val="center"/>
              <w:rPr>
                <w:rFonts w:ascii="仿宋_GB2312" w:hAnsi="仿宋_GB2312" w:eastAsia="仿宋_GB2312" w:cs="仿宋_GB2312"/>
                <w:sz w:val="24"/>
                <w:szCs w:val="24"/>
              </w:rPr>
            </w:pPr>
          </w:p>
        </w:tc>
        <w:tc>
          <w:tcPr>
            <w:tcW w:w="60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CB1617B">
            <w:pPr>
              <w:spacing w:line="400" w:lineRule="exact"/>
              <w:jc w:val="center"/>
              <w:rPr>
                <w:rFonts w:ascii="仿宋_GB2312" w:hAnsi="仿宋_GB2312" w:eastAsia="仿宋_GB2312" w:cs="仿宋_GB2312"/>
                <w:sz w:val="24"/>
                <w:szCs w:val="24"/>
              </w:rPr>
            </w:pPr>
          </w:p>
        </w:tc>
        <w:tc>
          <w:tcPr>
            <w:tcW w:w="60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FADC7AD">
            <w:pPr>
              <w:spacing w:line="400" w:lineRule="exact"/>
              <w:jc w:val="center"/>
              <w:rPr>
                <w:rFonts w:ascii="仿宋_GB2312" w:hAnsi="仿宋_GB2312" w:eastAsia="仿宋_GB2312" w:cs="仿宋_GB2312"/>
                <w:sz w:val="24"/>
                <w:szCs w:val="24"/>
              </w:rPr>
            </w:pPr>
          </w:p>
        </w:tc>
        <w:tc>
          <w:tcPr>
            <w:tcW w:w="67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9A12024">
            <w:pPr>
              <w:spacing w:line="400" w:lineRule="exact"/>
              <w:jc w:val="center"/>
              <w:rPr>
                <w:rFonts w:ascii="仿宋_GB2312" w:hAnsi="仿宋_GB2312" w:eastAsia="仿宋_GB2312" w:cs="仿宋_GB2312"/>
                <w:sz w:val="24"/>
                <w:szCs w:val="24"/>
              </w:rPr>
            </w:pPr>
          </w:p>
        </w:tc>
        <w:tc>
          <w:tcPr>
            <w:tcW w:w="54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6E54C24">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091AC92">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7E46540">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7893320">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2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FB5F8DC">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C8BED96">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32F3F0D">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CF0659E">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60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78AB52A">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2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FB585D2">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14:paraId="102117C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44" w:hRule="atLeast"/>
          <w:jc w:val="center"/>
        </w:trPr>
        <w:tc>
          <w:tcPr>
            <w:tcW w:w="60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C8001D9">
            <w:pPr>
              <w:tabs>
                <w:tab w:val="center" w:pos="193"/>
              </w:tabs>
              <w:spacing w:line="560" w:lineRule="exact"/>
              <w:ind w:firstLine="622"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0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C826C63">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0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34ADF97">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0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6D14083">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7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88F60B6">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54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2665745">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8607C30">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D0BBBFE">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1</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80E0707">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2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F50C55D">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1</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37CD76F">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22DDAAB">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0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95EFD00">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1</w:t>
            </w:r>
          </w:p>
        </w:tc>
        <w:tc>
          <w:tcPr>
            <w:tcW w:w="60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D38C6E3">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0</w:t>
            </w:r>
            <w:r>
              <w:rPr>
                <w:rFonts w:ascii="仿宋_GB2312" w:hAnsi="仿宋_GB2312" w:eastAsia="仿宋_GB2312" w:cs="仿宋_GB2312"/>
                <w:sz w:val="32"/>
                <w:szCs w:val="32"/>
              </w:rPr>
              <w:t> </w:t>
            </w:r>
          </w:p>
        </w:tc>
        <w:tc>
          <w:tcPr>
            <w:tcW w:w="62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7362FFD">
            <w:pPr>
              <w:tabs>
                <w:tab w:val="center" w:pos="193"/>
              </w:tabs>
              <w:spacing w:line="560" w:lineRule="exact"/>
              <w:ind w:firstLine="62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val="en-US" w:eastAsia="zh-CN"/>
              </w:rPr>
              <w:t>1</w:t>
            </w:r>
            <w:r>
              <w:rPr>
                <w:rFonts w:ascii="仿宋_GB2312" w:hAnsi="仿宋_GB2312" w:eastAsia="仿宋_GB2312" w:cs="仿宋_GB2312"/>
                <w:sz w:val="32"/>
                <w:szCs w:val="32"/>
              </w:rPr>
              <w:t> </w:t>
            </w:r>
          </w:p>
        </w:tc>
      </w:tr>
    </w:tbl>
    <w:p w14:paraId="3803FFE0">
      <w:pPr>
        <w:spacing w:line="560" w:lineRule="exact"/>
        <w:ind w:firstLine="622" w:firstLineChars="200"/>
        <w:rPr>
          <w:rFonts w:ascii="黑体" w:hAnsi="黑体" w:eastAsia="黑体" w:cs="仿宋_GB2312"/>
          <w:bCs/>
          <w:sz w:val="32"/>
          <w:szCs w:val="32"/>
        </w:rPr>
      </w:pPr>
      <w:r>
        <w:rPr>
          <w:rFonts w:hint="eastAsia" w:ascii="黑体" w:hAnsi="黑体" w:eastAsia="黑体" w:cs="仿宋_GB2312"/>
          <w:bCs/>
          <w:sz w:val="32"/>
          <w:szCs w:val="32"/>
        </w:rPr>
        <w:t>五、存在的主要问题及改进情况</w:t>
      </w:r>
    </w:p>
    <w:p w14:paraId="15EC4135">
      <w:pPr>
        <w:widowControl/>
        <w:spacing w:line="600" w:lineRule="exact"/>
        <w:ind w:firstLine="622" w:firstLineChars="200"/>
        <w:rPr>
          <w:rFonts w:hint="eastAsia" w:ascii="仿宋_GB2312" w:hAnsi="宋体" w:eastAsia="仿宋_GB2312"/>
          <w:color w:val="auto"/>
          <w:sz w:val="32"/>
          <w:szCs w:val="32"/>
        </w:rPr>
      </w:pPr>
      <w:r>
        <w:rPr>
          <w:rFonts w:hint="eastAsia" w:ascii="楷体_GB2312" w:hAnsi="宋体" w:eastAsia="楷体_GB2312"/>
          <w:color w:val="auto"/>
          <w:sz w:val="32"/>
          <w:szCs w:val="32"/>
        </w:rPr>
        <w:t>存在的主要问题：</w:t>
      </w:r>
      <w:r>
        <w:rPr>
          <w:rFonts w:hint="eastAsia" w:ascii="仿宋_GB2312" w:hAnsi="宋体" w:eastAsia="仿宋_GB2312"/>
          <w:color w:val="auto"/>
          <w:sz w:val="32"/>
          <w:szCs w:val="32"/>
        </w:rPr>
        <w:t>一是</w:t>
      </w:r>
      <w:r>
        <w:rPr>
          <w:rFonts w:hint="eastAsia" w:ascii="仿宋_GB2312" w:hAnsi="宋体" w:eastAsia="仿宋_GB2312"/>
          <w:color w:val="auto"/>
          <w:sz w:val="32"/>
          <w:szCs w:val="32"/>
          <w:lang w:eastAsia="zh-CN"/>
        </w:rPr>
        <w:t>相关配套</w:t>
      </w:r>
      <w:r>
        <w:rPr>
          <w:rFonts w:hint="eastAsia" w:ascii="仿宋_GB2312" w:hAnsi="宋体" w:eastAsia="仿宋_GB2312"/>
          <w:color w:val="auto"/>
          <w:sz w:val="32"/>
          <w:szCs w:val="32"/>
        </w:rPr>
        <w:t>制度还有待进一步完善，</w:t>
      </w:r>
      <w:r>
        <w:rPr>
          <w:rFonts w:hint="eastAsia" w:ascii="仿宋_GB2312" w:hAnsi="宋体" w:eastAsia="仿宋_GB2312"/>
          <w:color w:val="auto"/>
          <w:sz w:val="32"/>
          <w:szCs w:val="32"/>
          <w:lang w:eastAsia="zh-CN"/>
        </w:rPr>
        <w:t>政府信息公开工作是民众了解政府工作的重要窗口，但是部门对这块工作的重视程度还不够</w:t>
      </w:r>
      <w:r>
        <w:rPr>
          <w:rFonts w:hint="eastAsia" w:ascii="仿宋_GB2312" w:hAnsi="宋体" w:eastAsia="仿宋_GB2312"/>
          <w:color w:val="auto"/>
          <w:sz w:val="32"/>
          <w:szCs w:val="32"/>
        </w:rPr>
        <w:t>；二是</w:t>
      </w:r>
      <w:r>
        <w:rPr>
          <w:rFonts w:hint="eastAsia" w:ascii="仿宋_GB2312" w:hAnsi="宋体" w:eastAsia="仿宋_GB2312"/>
          <w:color w:val="auto"/>
          <w:sz w:val="32"/>
          <w:szCs w:val="32"/>
          <w:lang w:eastAsia="zh-CN"/>
        </w:rPr>
        <w:t>内容更新不够及时，有关养犬管理、非机动车违停抄告等重点工作的公开内容不够完整；三是缺乏对从事政府信息公开工作的人员的培训</w:t>
      </w:r>
      <w:r>
        <w:rPr>
          <w:rFonts w:hint="eastAsia" w:ascii="仿宋_GB2312" w:hAnsi="宋体" w:eastAsia="仿宋_GB2312"/>
          <w:color w:val="auto"/>
          <w:sz w:val="32"/>
          <w:szCs w:val="32"/>
        </w:rPr>
        <w:t>。</w:t>
      </w:r>
    </w:p>
    <w:p w14:paraId="1609B476">
      <w:pPr>
        <w:widowControl/>
        <w:spacing w:line="600" w:lineRule="exact"/>
        <w:ind w:firstLine="622" w:firstLineChars="200"/>
        <w:rPr>
          <w:rFonts w:hint="eastAsia" w:ascii="仿宋_GB2312" w:hAnsi="宋体" w:eastAsia="仿宋_GB2312" w:cs="宋体"/>
          <w:color w:val="auto"/>
          <w:kern w:val="0"/>
          <w:sz w:val="32"/>
          <w:szCs w:val="32"/>
        </w:rPr>
      </w:pPr>
      <w:r>
        <w:rPr>
          <w:rFonts w:hint="eastAsia" w:ascii="楷体_GB2312" w:hAnsi="宋体" w:eastAsia="楷体_GB2312"/>
          <w:color w:val="auto"/>
          <w:sz w:val="32"/>
          <w:szCs w:val="32"/>
          <w:lang w:val="en-US" w:eastAsia="zh-CN"/>
        </w:rPr>
        <w:t>2020</w:t>
      </w:r>
      <w:r>
        <w:rPr>
          <w:rFonts w:hint="eastAsia" w:ascii="楷体_GB2312" w:hAnsi="宋体" w:eastAsia="楷体_GB2312"/>
          <w:color w:val="auto"/>
          <w:sz w:val="32"/>
          <w:szCs w:val="32"/>
        </w:rPr>
        <w:t>年改进情况：</w:t>
      </w:r>
      <w:r>
        <w:rPr>
          <w:rFonts w:hint="eastAsia" w:ascii="仿宋_GB2312" w:hAnsi="宋体" w:eastAsia="仿宋_GB2312"/>
          <w:color w:val="auto"/>
          <w:sz w:val="32"/>
          <w:szCs w:val="32"/>
        </w:rPr>
        <w:t>一是</w:t>
      </w:r>
      <w:r>
        <w:rPr>
          <w:rFonts w:hint="eastAsia" w:ascii="仿宋_GB2312" w:hAnsi="宋体" w:eastAsia="仿宋_GB2312"/>
          <w:color w:val="auto"/>
          <w:sz w:val="32"/>
          <w:szCs w:val="32"/>
          <w:lang w:eastAsia="zh-CN"/>
        </w:rPr>
        <w:t>加强机构和队伍建设，提高认识，</w:t>
      </w:r>
      <w:r>
        <w:rPr>
          <w:rFonts w:hint="eastAsia" w:ascii="仿宋_GB2312" w:hAnsi="宋体" w:eastAsia="仿宋_GB2312"/>
          <w:color w:val="auto"/>
          <w:sz w:val="32"/>
          <w:szCs w:val="32"/>
        </w:rPr>
        <w:t>根据工作情况设立兼职人员负责收集整理公开信息。</w:t>
      </w:r>
      <w:r>
        <w:rPr>
          <w:rFonts w:hint="eastAsia" w:ascii="仿宋_GB2312" w:hAnsi="宋体" w:eastAsia="仿宋_GB2312"/>
          <w:color w:val="auto"/>
          <w:sz w:val="32"/>
          <w:szCs w:val="32"/>
          <w:lang w:eastAsia="zh-CN"/>
        </w:rPr>
        <w:t>二</w:t>
      </w:r>
      <w:r>
        <w:rPr>
          <w:rFonts w:hint="eastAsia" w:ascii="仿宋_GB2312" w:hAnsi="宋体" w:eastAsia="仿宋_GB2312"/>
          <w:color w:val="auto"/>
          <w:sz w:val="32"/>
          <w:szCs w:val="32"/>
        </w:rPr>
        <w:t>是</w:t>
      </w:r>
      <w:r>
        <w:rPr>
          <w:rFonts w:hint="eastAsia" w:ascii="仿宋_GB2312" w:hAnsi="宋体" w:eastAsia="仿宋_GB2312"/>
          <w:color w:val="auto"/>
          <w:sz w:val="32"/>
          <w:szCs w:val="32"/>
          <w:lang w:eastAsia="zh-CN"/>
        </w:rPr>
        <w:t>围绕满足市民群众最关注、最迫切了解的城市管理方面的信息需求，进一步充实信息公开内容，保障公众的知情权和监督权，并根据年度工作计划动态调整信息公开的侧重点。三</w:t>
      </w:r>
      <w:r>
        <w:rPr>
          <w:rFonts w:hint="eastAsia" w:ascii="仿宋_GB2312" w:hAnsi="宋体" w:eastAsia="仿宋_GB2312"/>
          <w:color w:val="auto"/>
          <w:sz w:val="32"/>
          <w:szCs w:val="32"/>
        </w:rPr>
        <w:t>是</w:t>
      </w:r>
      <w:r>
        <w:rPr>
          <w:rFonts w:hint="eastAsia" w:ascii="仿宋_GB2312" w:hAnsi="宋体" w:eastAsia="仿宋_GB2312"/>
          <w:color w:val="auto"/>
          <w:sz w:val="32"/>
          <w:szCs w:val="32"/>
          <w:lang w:eastAsia="zh-CN"/>
        </w:rPr>
        <w:t>积极开展信息公开培训</w:t>
      </w:r>
      <w:r>
        <w:rPr>
          <w:rFonts w:hint="eastAsia" w:ascii="仿宋_GB2312" w:hAnsi="宋体" w:eastAsia="仿宋_GB2312"/>
          <w:color w:val="auto"/>
          <w:sz w:val="32"/>
          <w:szCs w:val="32"/>
        </w:rPr>
        <w:t>。按照信息公开工作要求，</w:t>
      </w:r>
      <w:r>
        <w:rPr>
          <w:rFonts w:hint="eastAsia" w:ascii="仿宋_GB2312" w:hAnsi="宋体" w:eastAsia="仿宋_GB2312"/>
          <w:color w:val="auto"/>
          <w:sz w:val="32"/>
          <w:szCs w:val="32"/>
          <w:lang w:eastAsia="zh-CN"/>
        </w:rPr>
        <w:t>安排办公室人员负责公开信息的编辑、审核和发布，主动学习其他部门在信息公开工作中的特色亮点，确保政府信息公开工作扎实有效推进</w:t>
      </w:r>
      <w:r>
        <w:rPr>
          <w:rFonts w:hint="eastAsia" w:ascii="仿宋_GB2312" w:hAnsi="宋体" w:eastAsia="仿宋_GB2312"/>
          <w:color w:val="auto"/>
          <w:sz w:val="32"/>
          <w:szCs w:val="32"/>
        </w:rPr>
        <w:t>。</w:t>
      </w:r>
    </w:p>
    <w:p w14:paraId="1DBE1013">
      <w:pPr>
        <w:spacing w:line="560" w:lineRule="exact"/>
        <w:ind w:firstLine="622" w:firstLineChars="200"/>
        <w:rPr>
          <w:rFonts w:hint="eastAsia" w:ascii="黑体" w:hAnsi="黑体" w:eastAsia="黑体" w:cs="仿宋_GB2312"/>
          <w:bCs/>
          <w:sz w:val="32"/>
          <w:szCs w:val="32"/>
        </w:rPr>
      </w:pPr>
      <w:r>
        <w:rPr>
          <w:rFonts w:hint="eastAsia" w:ascii="黑体" w:hAnsi="黑体" w:eastAsia="黑体" w:cs="仿宋_GB2312"/>
          <w:bCs/>
          <w:sz w:val="32"/>
          <w:szCs w:val="32"/>
        </w:rPr>
        <w:t>六、其他需要报告的事项</w:t>
      </w:r>
    </w:p>
    <w:p w14:paraId="45BC13C7">
      <w:pPr>
        <w:spacing w:line="560" w:lineRule="exact"/>
        <w:ind w:firstLine="622" w:firstLineChars="200"/>
        <w:rPr>
          <w:rFonts w:ascii="黑体" w:hAnsi="黑体" w:eastAsia="黑体" w:cs="仿宋_GB2312"/>
          <w:bCs/>
          <w:sz w:val="32"/>
          <w:szCs w:val="32"/>
        </w:rPr>
      </w:pPr>
      <w:r>
        <w:rPr>
          <w:rFonts w:hint="eastAsia" w:ascii="仿宋_GB2312" w:hAnsi="仿宋_GB2312" w:eastAsia="仿宋_GB2312" w:cs="仿宋_GB2312"/>
          <w:sz w:val="32"/>
          <w:szCs w:val="32"/>
          <w:lang w:eastAsia="zh-CN"/>
        </w:rPr>
        <w:t>没有其他需要报告的事项。</w:t>
      </w:r>
    </w:p>
    <w:p w14:paraId="54BADE30">
      <w:pPr>
        <w:spacing w:line="560" w:lineRule="exact"/>
        <w:rPr>
          <w:rFonts w:hint="eastAsia" w:ascii="仿宋_GB2312" w:hAnsi="仿宋_GB2312" w:eastAsia="仿宋_GB2312" w:cs="仿宋_GB2312"/>
          <w:sz w:val="32"/>
          <w:szCs w:val="32"/>
        </w:rPr>
      </w:pPr>
    </w:p>
    <w:p w14:paraId="2F9A19B1">
      <w:pPr>
        <w:spacing w:line="560" w:lineRule="exact"/>
        <w:rPr>
          <w:rFonts w:hint="eastAsia" w:ascii="仿宋_GB2312" w:hAnsi="仿宋_GB2312" w:eastAsia="仿宋_GB2312" w:cs="仿宋_GB2312"/>
          <w:sz w:val="32"/>
          <w:szCs w:val="32"/>
        </w:rPr>
      </w:pPr>
    </w:p>
    <w:p w14:paraId="4C57AB19">
      <w:pPr>
        <w:spacing w:line="560" w:lineRule="exact"/>
        <w:rPr>
          <w:rFonts w:hint="eastAsia" w:ascii="仿宋_GB2312" w:hAnsi="仿宋_GB2312" w:eastAsia="仿宋_GB2312" w:cs="仿宋_GB2312"/>
          <w:sz w:val="32"/>
          <w:szCs w:val="32"/>
        </w:rPr>
      </w:pPr>
    </w:p>
    <w:p w14:paraId="5C57B9B6">
      <w:pPr>
        <w:spacing w:line="560" w:lineRule="exact"/>
        <w:rPr>
          <w:rFonts w:hint="eastAsia" w:ascii="仿宋_GB2312" w:hAnsi="仿宋_GB2312" w:eastAsia="仿宋_GB2312" w:cs="仿宋_GB2312"/>
          <w:sz w:val="32"/>
          <w:szCs w:val="32"/>
        </w:rPr>
      </w:pPr>
    </w:p>
    <w:p w14:paraId="04380735">
      <w:pPr>
        <w:spacing w:line="560" w:lineRule="exact"/>
        <w:ind w:firstLine="622" w:firstLineChars="200"/>
        <w:jc w:val="center"/>
        <w:rPr>
          <w:rFonts w:hint="eastAsia" w:ascii="仿宋_GB2312" w:hAnsi="仿宋_GB2312" w:eastAsia="仿宋_GB2312" w:cs="仿宋_GB2312"/>
          <w:sz w:val="32"/>
          <w:szCs w:val="32"/>
          <w:lang w:eastAsia="zh-CN"/>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单位名称</w:t>
      </w:r>
      <w:r>
        <w:rPr>
          <w:rFonts w:hint="eastAsia" w:ascii="仿宋_GB2312" w:hAnsi="仿宋_GB2312" w:eastAsia="仿宋_GB2312" w:cs="仿宋_GB2312"/>
          <w:sz w:val="32"/>
          <w:szCs w:val="32"/>
          <w:lang w:eastAsia="zh-CN"/>
        </w:rPr>
        <w:t>：慈溪市综合行政执法局</w:t>
      </w:r>
    </w:p>
    <w:p w14:paraId="2D388C44">
      <w:pPr>
        <w:spacing w:line="560" w:lineRule="exact"/>
        <w:ind w:firstLine="622" w:firstLineChars="200"/>
        <w:jc w:val="center"/>
        <w:rPr>
          <w:rFonts w:hint="default" w:ascii="仿宋_GB2312" w:hAnsi="仿宋_GB2312" w:eastAsia="仿宋_GB2312" w:cs="仿宋_GB2312"/>
          <w:sz w:val="32"/>
          <w:szCs w:val="32"/>
          <w:lang w:val="en-US" w:eastAsia="zh-CN"/>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2021年1月15日</w:t>
      </w:r>
    </w:p>
    <w:p w14:paraId="07A2A40F">
      <w:pPr>
        <w:spacing w:line="560" w:lineRule="exact"/>
        <w:jc w:val="left"/>
        <w:rPr>
          <w:rFonts w:hint="eastAsia" w:ascii="仿宋_GB2312" w:hAnsi="仿宋_GB2312" w:eastAsia="仿宋_GB2312" w:cs="仿宋_GB2312"/>
          <w:sz w:val="32"/>
          <w:szCs w:val="32"/>
        </w:rPr>
      </w:pPr>
    </w:p>
    <w:p w14:paraId="44820FDD">
      <w:pPr>
        <w:spacing w:line="560" w:lineRule="exact"/>
        <w:jc w:val="left"/>
        <w:rPr>
          <w:rFonts w:hint="eastAsia" w:ascii="仿宋_GB2312" w:hAnsi="仿宋_GB2312" w:eastAsia="仿宋_GB2312" w:cs="仿宋_GB2312"/>
          <w:sz w:val="32"/>
          <w:szCs w:val="32"/>
        </w:rPr>
      </w:pPr>
    </w:p>
    <w:p w14:paraId="729BF0FF">
      <w:pPr>
        <w:spacing w:line="560" w:lineRule="exact"/>
        <w:jc w:val="left"/>
        <w:rPr>
          <w:rFonts w:hint="eastAsia" w:ascii="仿宋_GB2312" w:hAnsi="仿宋_GB2312" w:eastAsia="仿宋_GB2312" w:cs="仿宋_GB2312"/>
          <w:sz w:val="32"/>
          <w:szCs w:val="32"/>
        </w:rPr>
      </w:pPr>
    </w:p>
    <w:p w14:paraId="3F9ACFC9">
      <w:pPr>
        <w:spacing w:line="560" w:lineRule="exact"/>
        <w:jc w:val="left"/>
        <w:rPr>
          <w:rFonts w:hint="eastAsia" w:ascii="仿宋_GB2312" w:hAnsi="仿宋_GB2312" w:eastAsia="仿宋_GB2312" w:cs="仿宋_GB2312"/>
          <w:sz w:val="32"/>
          <w:szCs w:val="32"/>
        </w:rPr>
      </w:pPr>
    </w:p>
    <w:p w14:paraId="44366E9C"/>
    <w:sectPr>
      <w:footerReference r:id="rId3" w:type="default"/>
      <w:footerReference r:id="rId4" w:type="even"/>
      <w:pgSz w:w="11906" w:h="16838"/>
      <w:pgMar w:top="2098" w:right="1474" w:bottom="1985" w:left="1588" w:header="1021" w:footer="1588" w:gutter="0"/>
      <w:cols w:space="720" w:num="1"/>
      <w:docGrid w:type="linesAndChars" w:linePitch="560" w:charSpace="-20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59B52B">
    <w:pPr>
      <w:pStyle w:val="2"/>
      <w:jc w:val="center"/>
      <w:rPr>
        <w:rFonts w:hint="eastAsia" w:ascii="仿宋_GB2312" w:eastAsia="仿宋_GB2312"/>
        <w:sz w:val="28"/>
        <w:szCs w:val="28"/>
      </w:rPr>
    </w:pPr>
    <w:r>
      <w:rPr>
        <w:rFonts w:hint="eastAsia" w:ascii="仿宋_GB2312" w:eastAsia="仿宋_GB2312"/>
        <w:sz w:val="28"/>
        <w:szCs w:val="28"/>
      </w:rPr>
      <w:t xml:space="preserve">                                                  — </w:t>
    </w:r>
    <w:r>
      <w:rPr>
        <w:rStyle w:val="5"/>
        <w:rFonts w:hint="eastAsia" w:ascii="仿宋_GB2312" w:eastAsia="仿宋_GB2312"/>
        <w:sz w:val="28"/>
        <w:szCs w:val="28"/>
      </w:rPr>
      <w:fldChar w:fldCharType="begin"/>
    </w:r>
    <w:r>
      <w:rPr>
        <w:rStyle w:val="5"/>
        <w:rFonts w:hint="eastAsia" w:ascii="仿宋_GB2312" w:eastAsia="仿宋_GB2312"/>
        <w:sz w:val="28"/>
        <w:szCs w:val="28"/>
      </w:rPr>
      <w:instrText xml:space="preserve"> PAGE </w:instrText>
    </w:r>
    <w:r>
      <w:rPr>
        <w:rStyle w:val="5"/>
        <w:rFonts w:hint="eastAsia" w:ascii="仿宋_GB2312" w:eastAsia="仿宋_GB2312"/>
        <w:sz w:val="28"/>
        <w:szCs w:val="28"/>
      </w:rPr>
      <w:fldChar w:fldCharType="separate"/>
    </w:r>
    <w:r>
      <w:rPr>
        <w:rStyle w:val="5"/>
        <w:rFonts w:ascii="仿宋_GB2312" w:eastAsia="仿宋_GB2312"/>
        <w:sz w:val="28"/>
        <w:szCs w:val="28"/>
      </w:rPr>
      <w:t>3</w:t>
    </w:r>
    <w:r>
      <w:rPr>
        <w:rStyle w:val="5"/>
        <w:rFonts w:hint="eastAsia" w:ascii="仿宋_GB2312" w:eastAsia="仿宋_GB2312"/>
        <w:sz w:val="28"/>
        <w:szCs w:val="28"/>
      </w:rPr>
      <w:fldChar w:fldCharType="end"/>
    </w:r>
    <w:r>
      <w:rPr>
        <w:rStyle w:val="5"/>
        <w:rFonts w:hint="eastAsia" w:ascii="仿宋_GB2312" w:eastAsia="仿宋_GB2312"/>
        <w:sz w:val="28"/>
        <w:szCs w:val="28"/>
      </w:rPr>
      <w:t xml:space="preserve"> </w:t>
    </w:r>
    <w:r>
      <w:rPr>
        <w:rFonts w:hint="eastAsia" w:ascii="仿宋_GB2312" w:eastAsia="仿宋_GB2312"/>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EDC150">
    <w:pPr>
      <w:pStyle w:val="2"/>
      <w:ind w:firstLine="280" w:firstLineChars="100"/>
      <w:rPr>
        <w:rFonts w:hint="eastAsia" w:ascii="仿宋_GB2312" w:eastAsia="仿宋_GB2312"/>
        <w:sz w:val="28"/>
        <w:szCs w:val="28"/>
      </w:rPr>
    </w:pPr>
    <w:r>
      <w:rPr>
        <w:rFonts w:hint="eastAsia" w:ascii="仿宋_GB2312" w:eastAsia="仿宋_GB2312"/>
        <w:sz w:val="28"/>
        <w:szCs w:val="28"/>
      </w:rPr>
      <w:t xml:space="preserve">— </w:t>
    </w:r>
    <w:r>
      <w:rPr>
        <w:rStyle w:val="5"/>
        <w:rFonts w:hint="eastAsia" w:ascii="仿宋_GB2312" w:eastAsia="仿宋_GB2312"/>
        <w:sz w:val="28"/>
        <w:szCs w:val="28"/>
      </w:rPr>
      <w:fldChar w:fldCharType="begin"/>
    </w:r>
    <w:r>
      <w:rPr>
        <w:rStyle w:val="5"/>
        <w:rFonts w:hint="eastAsia" w:ascii="仿宋_GB2312" w:eastAsia="仿宋_GB2312"/>
        <w:sz w:val="28"/>
        <w:szCs w:val="28"/>
      </w:rPr>
      <w:instrText xml:space="preserve"> PAGE </w:instrText>
    </w:r>
    <w:r>
      <w:rPr>
        <w:rStyle w:val="5"/>
        <w:rFonts w:hint="eastAsia" w:ascii="仿宋_GB2312" w:eastAsia="仿宋_GB2312"/>
        <w:sz w:val="28"/>
        <w:szCs w:val="28"/>
      </w:rPr>
      <w:fldChar w:fldCharType="separate"/>
    </w:r>
    <w:r>
      <w:rPr>
        <w:rStyle w:val="5"/>
        <w:rFonts w:ascii="仿宋_GB2312" w:eastAsia="仿宋_GB2312"/>
        <w:sz w:val="28"/>
        <w:szCs w:val="28"/>
      </w:rPr>
      <w:t>4</w:t>
    </w:r>
    <w:r>
      <w:rPr>
        <w:rStyle w:val="5"/>
        <w:rFonts w:hint="eastAsia" w:ascii="仿宋_GB2312" w:eastAsia="仿宋_GB2312"/>
        <w:sz w:val="28"/>
        <w:szCs w:val="28"/>
      </w:rPr>
      <w:fldChar w:fldCharType="end"/>
    </w:r>
    <w:r>
      <w:rPr>
        <w:rStyle w:val="5"/>
        <w:rFonts w:hint="eastAsia" w:ascii="仿宋_GB2312" w:eastAsia="仿宋_GB2312"/>
        <w:sz w:val="28"/>
        <w:szCs w:val="28"/>
      </w:rPr>
      <w:t xml:space="preserve"> </w:t>
    </w:r>
    <w:r>
      <w:rPr>
        <w:rFonts w:hint="eastAsia" w:ascii="仿宋_GB2312" w:eastAsia="仿宋_GB2312"/>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886703"/>
    <w:rsid w:val="7B426215"/>
    <w:rsid w:val="7E886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2856</Words>
  <Characters>2994</Characters>
  <Lines>0</Lines>
  <Paragraphs>0</Paragraphs>
  <TotalTime>0</TotalTime>
  <ScaleCrop>false</ScaleCrop>
  <LinksUpToDate>false</LinksUpToDate>
  <CharactersWithSpaces>3063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2021-03-31T02:29:00Z</dcterms:created>
  <dc:creator>zym</dc:creator>
  <cp:lastModifiedBy>cjqjune</cp:lastModifiedBy>
  <dcterms:modified xsi:type="dcterms:W3CDTF">2025-01-17T09:13:56Z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9B84A1C4D6614FDEB277A3DDB083FC2F</vt:lpwstr>
  </property>
  <property fmtid="{D5CDD505-2E9C-101B-9397-08002B2CF9AE}" pid="4" name="KSOTemplateDocerSaveRecord">
    <vt:lpwstr>eyJoZGlkIjoiMDdkNDY5NGZhMDcyODMzMmYzOWJmNmNmN2MwMWI2NDgiLCJ1c2VySWQiOiI0MjA4MTcyMjEifQ==</vt:lpwstr>
  </property>
</Properties>
</file>