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宋体" w:eastAsia="黑体" w:cs="黑体"/>
          <w:color w:val="333333"/>
          <w:sz w:val="31"/>
          <w:szCs w:val="31"/>
          <w:shd w:val="clear" w:color="auto" w:fill="FFFFFF"/>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2024年慈溪滨海经济开发区（龙山镇）</w:t>
      </w:r>
    </w:p>
    <w:p>
      <w:pPr>
        <w:spacing w:line="560" w:lineRule="exact"/>
        <w:jc w:val="center"/>
        <w:rPr>
          <w:rFonts w:ascii="??_GB2312" w:hAnsi="??_GB2312" w:eastAsia="Times New Roman" w:cs="??_GB2312"/>
          <w:sz w:val="32"/>
          <w:szCs w:val="32"/>
        </w:rPr>
      </w:pPr>
      <w:r>
        <w:rPr>
          <w:rFonts w:hint="eastAsia" w:ascii="方正小标宋简体" w:hAnsi="方正小标宋简体" w:eastAsia="方正小标宋简体" w:cs="方正小标宋简体"/>
          <w:sz w:val="36"/>
          <w:szCs w:val="36"/>
        </w:rPr>
        <w:t>信息公开工作年度报告</w:t>
      </w:r>
    </w:p>
    <w:p>
      <w:pPr>
        <w:spacing w:line="560" w:lineRule="exact"/>
        <w:ind w:firstLine="641" w:firstLineChars="200"/>
        <w:jc w:val="left"/>
        <w:rPr>
          <w:rFonts w:ascii="??_GB2312" w:hAnsi="??_GB2312" w:eastAsia="Times New Roman" w:cs="??_GB2312"/>
          <w:b/>
          <w:bCs/>
          <w:sz w:val="32"/>
          <w:szCs w:val="32"/>
        </w:rPr>
      </w:pPr>
      <w:r>
        <w:rPr>
          <w:rFonts w:hint="eastAsia" w:ascii="宋体" w:hAnsi="宋体" w:cs="宋体"/>
          <w:b/>
          <w:bCs/>
          <w:sz w:val="32"/>
          <w:szCs w:val="32"/>
        </w:rPr>
        <w:t>一、总体情况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i w:val="0"/>
          <w:caps w:val="0"/>
          <w:smallCaps w:val="0"/>
          <w:color w:val="000000"/>
          <w:spacing w:val="0"/>
          <w:kern w:val="2"/>
          <w:sz w:val="32"/>
          <w:szCs w:val="32"/>
          <w:lang w:val="en-US" w:eastAsia="zh-CN" w:bidi="ar-SA"/>
        </w:rPr>
      </w:pPr>
      <w:r>
        <w:rPr>
          <w:rFonts w:hint="eastAsia" w:ascii="仿宋_GB2312" w:hAnsi="仿宋_GB2312" w:eastAsia="仿宋_GB2312" w:cs="仿宋_GB2312"/>
          <w:b w:val="0"/>
          <w:i w:val="0"/>
          <w:caps w:val="0"/>
          <w:smallCaps w:val="0"/>
          <w:color w:val="000000"/>
          <w:spacing w:val="0"/>
          <w:kern w:val="2"/>
          <w:sz w:val="32"/>
          <w:szCs w:val="32"/>
          <w:lang w:val="en-US" w:eastAsia="zh-CN" w:bidi="ar-SA"/>
        </w:rPr>
        <w:t>本报告根据《中华人民共和国政府信息公开条例》规定和慈溪市</w:t>
      </w:r>
      <w:r>
        <w:rPr>
          <w:rFonts w:hint="eastAsia" w:ascii="仿宋_GB2312" w:hAnsi="宋体" w:eastAsia="仿宋_GB2312" w:cs="宋体"/>
          <w:sz w:val="32"/>
          <w:szCs w:val="32"/>
        </w:rPr>
        <w:t>人民政府办公室</w:t>
      </w:r>
      <w:r>
        <w:rPr>
          <w:rFonts w:hint="eastAsia" w:ascii="仿宋_GB2312" w:hAnsi="仿宋_GB2312" w:eastAsia="仿宋_GB2312" w:cs="仿宋_GB2312"/>
          <w:b w:val="0"/>
          <w:i w:val="0"/>
          <w:caps w:val="0"/>
          <w:smallCaps w:val="0"/>
          <w:color w:val="000000"/>
          <w:spacing w:val="0"/>
          <w:kern w:val="2"/>
          <w:sz w:val="32"/>
          <w:szCs w:val="32"/>
          <w:lang w:val="en-US" w:eastAsia="zh-CN" w:bidi="ar-SA"/>
        </w:rPr>
        <w:t>《关于做好2024年度政务公开工作总结和年度报告有关事项的通知》等文件要求进行编制。本年报所列数据的统计期限自2024年1月1日起至2024年12月31日止。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i w:val="0"/>
          <w:caps w:val="0"/>
          <w:smallCaps w:val="0"/>
          <w:color w:val="000000"/>
          <w:spacing w:val="0"/>
          <w:kern w:val="2"/>
          <w:sz w:val="32"/>
          <w:szCs w:val="32"/>
          <w:lang w:val="en-US" w:eastAsia="zh-CN" w:bidi="ar-SA"/>
        </w:rPr>
        <w:t>（一）主动公开情况。</w:t>
      </w:r>
      <w:r>
        <w:rPr>
          <w:rFonts w:hint="eastAsia" w:ascii="仿宋_GB2312" w:hAnsi="仿宋_GB2312" w:eastAsia="仿宋_GB2312" w:cs="仿宋_GB2312"/>
          <w:sz w:val="32"/>
          <w:szCs w:val="32"/>
          <w:lang w:val="en-US" w:eastAsia="zh-CN"/>
        </w:rPr>
        <w:t>龙山镇遵循公平、公开、便民的原则，不断推动政务公开水平再上台阶。</w:t>
      </w:r>
      <w:r>
        <w:rPr>
          <w:rFonts w:hint="eastAsia" w:ascii="仿宋_GB2312" w:hAnsi="仿宋_GB2312" w:eastAsia="仿宋_GB2312" w:cs="仿宋_GB2312"/>
          <w:b w:val="0"/>
          <w:i w:val="0"/>
          <w:caps w:val="0"/>
          <w:smallCaps w:val="0"/>
          <w:color w:val="000000"/>
          <w:spacing w:val="0"/>
          <w:kern w:val="2"/>
          <w:sz w:val="32"/>
          <w:szCs w:val="32"/>
          <w:lang w:val="en-US" w:eastAsia="zh-CN" w:bidi="ar-SA"/>
        </w:rPr>
        <w:t>2024年</w:t>
      </w:r>
      <w:r>
        <w:rPr>
          <w:rFonts w:hint="eastAsia" w:ascii="仿宋_GB2312" w:hAnsi="仿宋_GB2312" w:eastAsia="仿宋_GB2312" w:cs="仿宋_GB2312"/>
          <w:sz w:val="32"/>
          <w:szCs w:val="32"/>
          <w:lang w:val="en-US" w:eastAsia="zh-CN"/>
        </w:rPr>
        <w:t>主动公开信息125条，公开内容涵盖计划总结、财政预决算、政务动态、人大建议、政协提案等方面，完成一个重大建设项目全生命周期公开专题，发布3项重大行政决策，不断增加群众对政府工作的了解，在政民互动中提高政府的公信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b w:val="0"/>
          <w:i w:val="0"/>
          <w:caps w:val="0"/>
          <w:smallCaps w:val="0"/>
          <w:color w:val="000000"/>
          <w:spacing w:val="0"/>
          <w:kern w:val="2"/>
          <w:sz w:val="32"/>
          <w:szCs w:val="32"/>
          <w:lang w:val="en-US" w:eastAsia="zh-CN" w:bidi="ar-SA"/>
        </w:rPr>
      </w:pPr>
      <w:r>
        <w:rPr>
          <w:rFonts w:hint="eastAsia" w:ascii="楷体_GB2312" w:hAnsi="楷体_GB2312" w:eastAsia="楷体_GB2312" w:cs="楷体_GB2312"/>
          <w:b w:val="0"/>
          <w:i w:val="0"/>
          <w:caps w:val="0"/>
          <w:smallCaps w:val="0"/>
          <w:color w:val="000000"/>
          <w:spacing w:val="0"/>
          <w:kern w:val="2"/>
          <w:sz w:val="32"/>
          <w:szCs w:val="32"/>
          <w:lang w:val="en-US" w:eastAsia="zh-CN" w:bidi="ar-SA"/>
        </w:rPr>
        <w:t>（二）依申请公开情况。</w:t>
      </w:r>
      <w:r>
        <w:rPr>
          <w:rFonts w:hint="eastAsia" w:ascii="仿宋_GB2312" w:hAnsi="仿宋_GB2312" w:eastAsia="仿宋_GB2312" w:cs="仿宋_GB2312"/>
          <w:b w:val="0"/>
          <w:i w:val="0"/>
          <w:caps w:val="0"/>
          <w:smallCaps w:val="0"/>
          <w:color w:val="000000"/>
          <w:spacing w:val="0"/>
          <w:kern w:val="2"/>
          <w:sz w:val="32"/>
          <w:szCs w:val="32"/>
          <w:lang w:val="en-US" w:eastAsia="zh-CN" w:bidi="ar-SA"/>
        </w:rPr>
        <w:t>龙山镇按要求畅通依申请公开渠道，规范依申请公开办理流程，</w:t>
      </w:r>
      <w:r>
        <w:rPr>
          <w:rFonts w:hint="eastAsia" w:ascii="仿宋_GB2312" w:hAnsi="仿宋_GB2312" w:eastAsia="仿宋_GB2312" w:cs="仿宋_GB2312"/>
          <w:sz w:val="32"/>
          <w:szCs w:val="32"/>
          <w:lang w:val="en-US" w:eastAsia="zh-CN"/>
        </w:rPr>
        <w:t>严格按照依申请公开办理时限，确保按时办结。</w:t>
      </w:r>
      <w:r>
        <w:rPr>
          <w:rFonts w:hint="eastAsia" w:ascii="仿宋_GB2312" w:hAnsi="仿宋_GB2312" w:eastAsia="仿宋_GB2312" w:cs="仿宋_GB2312"/>
          <w:b w:val="0"/>
          <w:i w:val="0"/>
          <w:caps w:val="0"/>
          <w:smallCaps w:val="0"/>
          <w:color w:val="000000"/>
          <w:spacing w:val="0"/>
          <w:kern w:val="2"/>
          <w:sz w:val="32"/>
          <w:szCs w:val="32"/>
          <w:lang w:val="en-US" w:eastAsia="zh-CN" w:bidi="ar-SA"/>
        </w:rPr>
        <w:t>本年度，共收到依申请公开5件，均按期答复。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i w:val="0"/>
          <w:caps w:val="0"/>
          <w:smallCaps w:val="0"/>
          <w:color w:val="000000"/>
          <w:spacing w:val="0"/>
          <w:kern w:val="2"/>
          <w:sz w:val="32"/>
          <w:szCs w:val="32"/>
          <w:lang w:val="en-US" w:eastAsia="zh-CN" w:bidi="ar-SA"/>
        </w:rPr>
        <w:t>（三）政府信息管理情况。</w:t>
      </w:r>
      <w:r>
        <w:rPr>
          <w:rFonts w:hint="eastAsia" w:ascii="仿宋_GB2312" w:hAnsi="仿宋_GB2312" w:eastAsia="仿宋_GB2312" w:cs="仿宋_GB2312"/>
          <w:b w:val="0"/>
          <w:i w:val="0"/>
          <w:caps w:val="0"/>
          <w:smallCaps w:val="0"/>
          <w:color w:val="000000"/>
          <w:spacing w:val="0"/>
          <w:kern w:val="2"/>
          <w:sz w:val="32"/>
          <w:szCs w:val="32"/>
          <w:lang w:val="en-US" w:eastAsia="zh-CN" w:bidi="ar-SA"/>
        </w:rPr>
        <w:t>龙山镇严格信息公开审查机制，按照</w:t>
      </w:r>
      <w:r>
        <w:rPr>
          <w:rFonts w:hint="eastAsia" w:ascii="仿宋_GB2312" w:hAnsi="仿宋_GB2312" w:eastAsia="仿宋_GB2312" w:cs="仿宋_GB2312"/>
          <w:color w:val="000000"/>
          <w:kern w:val="2"/>
          <w:sz w:val="32"/>
          <w:szCs w:val="32"/>
          <w:lang w:val="en-US" w:eastAsia="zh-CN" w:bidi="ar-SA"/>
        </w:rPr>
        <w:t>“先审查、后公开”的原则，对公开信息进行保密审查，杜绝失泄密事件的发生。同时全面梳理现行有效的政府规章、行政政规范性文件，通过政府网站集中统一公开，方便群众查阅。</w:t>
      </w:r>
      <w:r>
        <w:rPr>
          <w:rFonts w:hint="eastAsia" w:ascii="仿宋_GB2312" w:hAnsi="仿宋_GB2312" w:eastAsia="仿宋_GB2312" w:cs="仿宋_GB2312"/>
          <w:sz w:val="32"/>
          <w:szCs w:val="32"/>
          <w:lang w:val="en-US" w:eastAsia="zh-CN"/>
        </w:rPr>
        <w:t>截至目前，行政规范性文件现行有效件数为3件。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i w:val="0"/>
          <w:caps w:val="0"/>
          <w:smallCaps w:val="0"/>
          <w:color w:val="000000"/>
          <w:spacing w:val="0"/>
          <w:kern w:val="2"/>
          <w:sz w:val="32"/>
          <w:szCs w:val="32"/>
          <w:lang w:val="en-US" w:eastAsia="zh-CN" w:bidi="ar-SA"/>
        </w:rPr>
      </w:pPr>
      <w:r>
        <w:rPr>
          <w:rFonts w:hint="eastAsia" w:ascii="楷体_GB2312" w:hAnsi="楷体_GB2312" w:eastAsia="楷体_GB2312" w:cs="楷体_GB2312"/>
          <w:b w:val="0"/>
          <w:i w:val="0"/>
          <w:caps w:val="0"/>
          <w:smallCaps w:val="0"/>
          <w:color w:val="000000"/>
          <w:spacing w:val="0"/>
          <w:kern w:val="2"/>
          <w:sz w:val="32"/>
          <w:szCs w:val="32"/>
          <w:lang w:val="en-US" w:eastAsia="zh-CN" w:bidi="ar-SA"/>
        </w:rPr>
        <w:t>（四）平台建设情况。</w:t>
      </w:r>
      <w:r>
        <w:rPr>
          <w:rFonts w:hint="eastAsia" w:ascii="仿宋_GB2312" w:hAnsi="仿宋_GB2312" w:eastAsia="仿宋_GB2312" w:cs="仿宋_GB2312"/>
          <w:b w:val="0"/>
          <w:i w:val="0"/>
          <w:caps w:val="0"/>
          <w:smallCaps w:val="0"/>
          <w:color w:val="000000"/>
          <w:spacing w:val="0"/>
          <w:kern w:val="2"/>
          <w:sz w:val="32"/>
          <w:szCs w:val="32"/>
          <w:lang w:val="en-US" w:eastAsia="zh-CN" w:bidi="ar-SA"/>
        </w:rPr>
        <w:t>龙山镇积极配合上级部门对政府网站的建设工作，不断完善政务公开专区乡镇板块的建设，按期更新各项内容。同时加强政务新媒体的建设，依托“滨海伏龙”政务新媒体平台发布政务信息，坚持每周更新5次以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ascii="仿宋_GB2312" w:hAnsi="仿宋_GB2312" w:eastAsia="仿宋_GB2312" w:cs="仿宋_GB2312"/>
          <w:b w:val="0"/>
          <w:i w:val="0"/>
          <w:caps w:val="0"/>
          <w:smallCaps w:val="0"/>
          <w:color w:val="000000"/>
          <w:spacing w:val="0"/>
          <w:kern w:val="2"/>
          <w:sz w:val="32"/>
          <w:szCs w:val="32"/>
          <w:lang w:val="en-US" w:eastAsia="zh-CN" w:bidi="ar-SA"/>
        </w:rPr>
      </w:pPr>
      <w:r>
        <w:rPr>
          <w:rFonts w:hint="eastAsia" w:ascii="楷体_GB2312" w:hAnsi="楷体_GB2312" w:eastAsia="楷体_GB2312" w:cs="楷体_GB2312"/>
          <w:b w:val="0"/>
          <w:i w:val="0"/>
          <w:caps w:val="0"/>
          <w:smallCaps w:val="0"/>
          <w:color w:val="000000"/>
          <w:spacing w:val="0"/>
          <w:kern w:val="2"/>
          <w:sz w:val="32"/>
          <w:szCs w:val="32"/>
          <w:lang w:val="en-US" w:eastAsia="zh-CN" w:bidi="ar-SA"/>
        </w:rPr>
        <w:t>（五）监督保障情况。</w:t>
      </w:r>
      <w:r>
        <w:rPr>
          <w:rFonts w:hint="eastAsia" w:ascii="仿宋_GB2312" w:hAnsi="仿宋_GB2312" w:eastAsia="仿宋_GB2312" w:cs="仿宋_GB2312"/>
          <w:b w:val="0"/>
          <w:i w:val="0"/>
          <w:caps w:val="0"/>
          <w:smallCaps w:val="0"/>
          <w:color w:val="000000"/>
          <w:spacing w:val="0"/>
          <w:kern w:val="2"/>
          <w:sz w:val="32"/>
          <w:szCs w:val="32"/>
          <w:lang w:val="en-US" w:eastAsia="zh-CN" w:bidi="ar-SA"/>
        </w:rPr>
        <w:t>龙山镇成立以镇长为组长的政务公开领导小组，各办公室配备一名联络员，配齐配强工作力量，解决群众依申请公开需求。组织政务公开工作人员以及分管领导参加全市统一的政务公开业务培训，提高业务能力。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sz w:val="32"/>
          <w:szCs w:val="32"/>
        </w:rPr>
      </w:pPr>
      <w:r>
        <w:rPr>
          <w:rFonts w:ascii="楷体_GB2312" w:hAnsi="楷体_GB2312" w:eastAsia="楷体_GB2312" w:cs="楷体_GB2312"/>
          <w:color w:val="000000"/>
          <w:sz w:val="32"/>
          <w:szCs w:val="32"/>
        </w:rPr>
        <w:t>（</w:t>
      </w:r>
      <w:r>
        <w:rPr>
          <w:rFonts w:hint="eastAsia" w:ascii="楷体_GB2312" w:hAnsi="楷体_GB2312" w:eastAsia="楷体_GB2312" w:cs="楷体_GB2312"/>
          <w:color w:val="000000"/>
          <w:sz w:val="32"/>
          <w:szCs w:val="32"/>
        </w:rPr>
        <w:t>六</w:t>
      </w:r>
      <w:r>
        <w:rPr>
          <w:rFonts w:ascii="楷体_GB2312" w:hAnsi="楷体_GB2312" w:eastAsia="楷体_GB2312" w:cs="楷体_GB2312"/>
          <w:color w:val="000000"/>
          <w:sz w:val="32"/>
          <w:szCs w:val="32"/>
        </w:rPr>
        <w:t>）</w:t>
      </w:r>
      <w:r>
        <w:rPr>
          <w:rFonts w:hint="eastAsia" w:ascii="楷体_GB2312" w:hAnsi="楷体_GB2312" w:eastAsia="楷体_GB2312" w:cs="楷体_GB2312"/>
          <w:color w:val="000000"/>
          <w:sz w:val="32"/>
          <w:szCs w:val="32"/>
        </w:rPr>
        <w:t>社会评议和责任追究结果情况</w:t>
      </w:r>
      <w:r>
        <w:rPr>
          <w:rFonts w:ascii="楷体_GB2312" w:hAnsi="楷体_GB2312" w:eastAsia="楷体_GB2312" w:cs="楷体_GB2312"/>
          <w:color w:val="000000"/>
          <w:sz w:val="32"/>
          <w:szCs w:val="32"/>
        </w:rPr>
        <w:t>。</w:t>
      </w:r>
      <w:r>
        <w:rPr>
          <w:rFonts w:hint="eastAsia" w:ascii="仿宋_GB2312" w:hAnsi="仿宋_GB2312" w:eastAsia="仿宋_GB2312" w:cs="仿宋_GB2312"/>
          <w:color w:val="000000"/>
          <w:sz w:val="32"/>
          <w:szCs w:val="32"/>
        </w:rPr>
        <w:t>龙山镇在应对社会评议</w:t>
      </w:r>
      <w:r>
        <w:rPr>
          <w:rFonts w:ascii="仿宋_GB2312" w:hAnsi="仿宋_GB2312" w:eastAsia="仿宋_GB2312" w:cs="仿宋_GB2312"/>
          <w:color w:val="000000"/>
          <w:sz w:val="32"/>
          <w:szCs w:val="32"/>
        </w:rPr>
        <w:t>时</w:t>
      </w:r>
      <w:r>
        <w:rPr>
          <w:rFonts w:hint="eastAsia" w:ascii="仿宋_GB2312" w:hAnsi="仿宋_GB2312" w:eastAsia="仿宋_GB2312" w:cs="仿宋_GB2312"/>
          <w:color w:val="000000"/>
          <w:sz w:val="32"/>
          <w:szCs w:val="32"/>
        </w:rPr>
        <w:t>采取积极态度，确保对外公开的信息</w:t>
      </w:r>
      <w:r>
        <w:rPr>
          <w:rFonts w:ascii="仿宋_GB2312" w:hAnsi="仿宋_GB2312" w:eastAsia="仿宋_GB2312" w:cs="仿宋_GB2312"/>
          <w:color w:val="000000"/>
          <w:sz w:val="32"/>
          <w:szCs w:val="32"/>
        </w:rPr>
        <w:t>正确属实</w:t>
      </w:r>
      <w:r>
        <w:rPr>
          <w:rFonts w:hint="eastAsia" w:ascii="仿宋_GB2312" w:hAnsi="仿宋_GB2312" w:eastAsia="仿宋_GB2312" w:cs="仿宋_GB2312"/>
          <w:color w:val="000000"/>
          <w:sz w:val="32"/>
          <w:szCs w:val="32"/>
        </w:rPr>
        <w:t>。在政府信息公开工作责任追究方面，202</w:t>
      </w:r>
      <w:r>
        <w:rPr>
          <w:rFonts w:ascii="仿宋_GB2312" w:hAnsi="仿宋_GB2312" w:eastAsia="仿宋_GB2312" w:cs="仿宋_GB2312"/>
          <w:color w:val="000000"/>
          <w:sz w:val="32"/>
          <w:szCs w:val="32"/>
        </w:rPr>
        <w:t>4</w:t>
      </w:r>
      <w:r>
        <w:rPr>
          <w:rFonts w:hint="eastAsia" w:ascii="仿宋_GB2312" w:hAnsi="仿宋_GB2312" w:eastAsia="仿宋_GB2312" w:cs="仿宋_GB2312"/>
          <w:color w:val="000000"/>
          <w:sz w:val="32"/>
          <w:szCs w:val="32"/>
        </w:rPr>
        <w:t>年我镇未出现政府信息公开工作责任追究的情况。</w:t>
      </w:r>
    </w:p>
    <w:p>
      <w:pPr>
        <w:spacing w:line="560" w:lineRule="exact"/>
        <w:ind w:firstLine="641" w:firstLineChars="200"/>
        <w:jc w:val="left"/>
        <w:rPr>
          <w:rFonts w:ascii="??_GB2312" w:hAnsi="??_GB2312" w:eastAsia="Times New Roman" w:cs="??_GB2312"/>
          <w:b/>
          <w:bCs/>
          <w:sz w:val="32"/>
          <w:szCs w:val="32"/>
        </w:rPr>
      </w:pPr>
      <w:r>
        <w:rPr>
          <w:rFonts w:hint="eastAsia" w:ascii="宋体" w:hAnsi="宋体" w:cs="宋体"/>
          <w:b/>
          <w:bCs/>
          <w:sz w:val="32"/>
          <w:szCs w:val="32"/>
        </w:rPr>
        <w:t>二、主动公开政府信息情况</w:t>
      </w:r>
    </w:p>
    <w:tbl>
      <w:tblPr>
        <w:tblStyle w:val="6"/>
        <w:tblW w:w="88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规章</w:t>
            </w:r>
          </w:p>
        </w:tc>
        <w:tc>
          <w:tcPr>
            <w:tcW w:w="258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sz w:val="24"/>
                <w:szCs w:val="24"/>
                <w:lang w:val="en-US" w:eastAsia="zh-CN"/>
              </w:rPr>
            </w:pPr>
            <w:r>
              <w:rPr>
                <w:rFonts w:hint="eastAsia" w:ascii="??_GB2312" w:hAnsi="??_GB2312"/>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szCs w:val="24"/>
                <w:highlight w:val="yellow"/>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szCs w:val="24"/>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szCs w:val="24"/>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szCs w:val="24"/>
              </w:rPr>
            </w:pPr>
            <w:r>
              <w:rPr>
                <w:rFonts w:hint="eastAsia" w:ascii="??_GB2312" w:hAnsi="??_GB2312"/>
                <w:sz w:val="24"/>
                <w:szCs w:val="24"/>
                <w:lang w:val="en-US" w:eastAsia="zh-CN"/>
              </w:rPr>
              <w:t>0</w:t>
            </w:r>
          </w:p>
        </w:tc>
      </w:tr>
    </w:tbl>
    <w:p>
      <w:pPr>
        <w:spacing w:line="560" w:lineRule="exact"/>
        <w:ind w:firstLine="641" w:firstLineChars="200"/>
        <w:jc w:val="left"/>
        <w:rPr>
          <w:rFonts w:ascii="??_GB2312" w:hAnsi="??_GB2312" w:eastAsia="Times New Roman" w:cs="??_GB2312"/>
          <w:b/>
          <w:bCs/>
          <w:sz w:val="32"/>
          <w:szCs w:val="32"/>
        </w:rPr>
      </w:pPr>
      <w:r>
        <w:rPr>
          <w:rFonts w:hint="eastAsia" w:ascii="宋体" w:hAnsi="宋体" w:cs="宋体"/>
          <w:b/>
          <w:bCs/>
          <w:sz w:val="32"/>
          <w:szCs w:val="32"/>
        </w:rPr>
        <w:t>三、收到和处理政府信息公开申请情况</w:t>
      </w:r>
    </w:p>
    <w:tbl>
      <w:tblPr>
        <w:tblStyle w:val="6"/>
        <w:tblW w:w="89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sz w:val="18"/>
                <w:szCs w:val="18"/>
              </w:rPr>
            </w:pPr>
            <w:r>
              <w:rPr>
                <w:rFonts w:hint="eastAsia" w:ascii="宋体" w:hAnsi="宋体" w:cs="宋体"/>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vAlign w:val="center"/>
          </w:tcPr>
          <w:p/>
        </w:tc>
        <w:tc>
          <w:tcPr>
            <w:tcW w:w="69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vAlign w:val="center"/>
          </w:tcPr>
          <w:p/>
        </w:tc>
        <w:tc>
          <w:tcPr>
            <w:tcW w:w="696" w:type="dxa"/>
            <w:vMerge w:val="continue"/>
            <w:tcBorders>
              <w:top w:val="single" w:color="auto" w:sz="4" w:space="0"/>
              <w:left w:val="single" w:color="auto" w:sz="4" w:space="0"/>
              <w:bottom w:val="single" w:color="auto" w:sz="4" w:space="0"/>
              <w:right w:val="single" w:color="auto" w:sz="4" w:space="0"/>
            </w:tcBorders>
            <w:vAlign w:val="center"/>
          </w:tcP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hint="eastAsia" w:ascii="宋体" w:hAnsi="宋体" w:cs="宋体"/>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5</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hint="eastAsia" w:ascii="宋体" w:hAnsi="宋体" w:cs="宋体"/>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ascii="??_GB2312" w:hAnsi="??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ascii="??_GB2312" w:hAnsi="??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hint="eastAsia" w:ascii="宋体" w:hAnsi="宋体" w:cs="宋体"/>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hint="eastAsia" w:ascii="宋体" w:hAnsi="宋体" w:cs="宋体"/>
                <w:sz w:val="24"/>
                <w:szCs w:val="24"/>
              </w:rPr>
              <w:t>（一）予以公开</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ascii="??_GB2312" w:hAnsi="??_GB2312"/>
                <w:sz w:val="24"/>
                <w:szCs w:val="24"/>
                <w:lang w:val="en-US" w:eastAsia="zh-CN"/>
              </w:rPr>
              <w:t>3</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ascii="??_GB2312" w:hAnsi="??_GB2312"/>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310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hint="eastAsia" w:ascii="宋体" w:hAnsi="宋体" w:cs="宋体"/>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ascii="??_GB2312" w:hAnsi="??_GB2312" w:eastAsia="宋体" w:cs="Times New Roman"/>
                <w:kern w:val="2"/>
                <w:sz w:val="24"/>
                <w:szCs w:val="24"/>
                <w:lang w:val="en-US" w:eastAsia="zh-CN" w:bidi="ar-SA"/>
              </w:rPr>
            </w:pPr>
            <w:r>
              <w:rPr>
                <w:rFonts w:hint="eastAsia" w:ascii="??_GB2312" w:hAnsi="??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hint="eastAsia" w:ascii="宋体" w:hAnsi="宋体" w:cs="宋体"/>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危及</w:t>
            </w:r>
            <w:r>
              <w:rPr>
                <w:rFonts w:ascii="??_GB2312" w:hAnsi="??_GB2312" w:eastAsia="Times New Roman" w:cs="??_GB2312"/>
                <w:sz w:val="24"/>
                <w:szCs w:val="24"/>
              </w:rPr>
              <w:t>“</w:t>
            </w:r>
            <w:r>
              <w:rPr>
                <w:rFonts w:hint="eastAsia" w:ascii="宋体" w:hAnsi="宋体" w:cs="宋体"/>
                <w:sz w:val="24"/>
                <w:szCs w:val="24"/>
              </w:rPr>
              <w:t>三安全一稳定</w:t>
            </w:r>
            <w:r>
              <w:rPr>
                <w:rFonts w:ascii="??_GB2312" w:hAnsi="??_GB2312" w:eastAsia="Times New Roman" w:cs="??_GB2312"/>
                <w:sz w:val="24"/>
                <w:szCs w:val="24"/>
              </w:rPr>
              <w:t>”</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4.</w:t>
            </w:r>
            <w:r>
              <w:rPr>
                <w:rFonts w:hint="eastAsia" w:ascii="宋体" w:hAnsi="宋体" w:cs="宋体"/>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5.</w:t>
            </w:r>
            <w:r>
              <w:rPr>
                <w:rFonts w:hint="eastAsia" w:ascii="宋体" w:hAnsi="宋体" w:cs="宋体"/>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6.</w:t>
            </w:r>
            <w:r>
              <w:rPr>
                <w:rFonts w:hint="eastAsia" w:ascii="宋体" w:hAnsi="宋体" w:cs="宋体"/>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7.</w:t>
            </w:r>
            <w:r>
              <w:rPr>
                <w:rFonts w:hint="eastAsia" w:ascii="宋体" w:hAnsi="宋体" w:cs="宋体"/>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8.</w:t>
            </w:r>
            <w:r>
              <w:rPr>
                <w:rFonts w:hint="eastAsia" w:ascii="宋体" w:hAnsi="宋体" w:cs="宋体"/>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hint="eastAsia" w:ascii="宋体" w:hAnsi="宋体" w:cs="宋体"/>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hint="eastAsia" w:ascii="宋体" w:hAnsi="宋体" w:cs="宋体"/>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重复申请</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4.</w:t>
            </w:r>
            <w:r>
              <w:rPr>
                <w:rFonts w:hint="eastAsia" w:ascii="宋体" w:hAnsi="宋体" w:cs="宋体"/>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ascii="??_GB2312" w:hAnsi="??_GB2312" w:eastAsia="Times New Roman" w:cs="??_GB2312"/>
                <w:sz w:val="24"/>
                <w:szCs w:val="24"/>
              </w:rPr>
              <w:t>5.</w:t>
            </w:r>
            <w:r>
              <w:rPr>
                <w:rFonts w:hint="eastAsia" w:ascii="宋体" w:hAnsi="宋体" w:cs="宋体"/>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hint="eastAsia" w:ascii="宋体" w:hAnsi="宋体" w:cs="宋体"/>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cs="??_GB2312"/>
                <w:sz w:val="24"/>
                <w:szCs w:val="24"/>
              </w:rPr>
            </w:pPr>
            <w:r>
              <w:rPr>
                <w:rFonts w:ascii="??_GB2312" w:hAnsi="??_GB2312" w:eastAsia="Times New Roman" w:cs="??_GB2312"/>
                <w:sz w:val="24"/>
                <w:szCs w:val="24"/>
              </w:rPr>
              <w:t>1.</w:t>
            </w:r>
            <w:r>
              <w:rPr>
                <w:rFonts w:hint="eastAsia" w:ascii="宋体" w:hAnsi="宋体" w:cs="宋体"/>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cs="??_GB2312"/>
                <w:sz w:val="24"/>
                <w:szCs w:val="24"/>
              </w:rPr>
            </w:pPr>
            <w:r>
              <w:rPr>
                <w:rFonts w:ascii="??_GB2312" w:hAnsi="??_GB2312" w:eastAsia="Times New Roman" w:cs="??_GB2312"/>
                <w:sz w:val="24"/>
                <w:szCs w:val="24"/>
              </w:rPr>
              <w:t>2.</w:t>
            </w:r>
            <w:r>
              <w:rPr>
                <w:rFonts w:hint="eastAsia" w:ascii="宋体" w:hAnsi="宋体" w:cs="宋体"/>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1080" w:type="dxa"/>
            <w:vMerge w:val="continue"/>
            <w:tcBorders>
              <w:top w:val="single" w:color="auto" w:sz="4" w:space="0"/>
              <w:left w:val="single" w:color="auto" w:sz="4" w:space="0"/>
              <w:bottom w:val="single" w:color="auto" w:sz="4" w:space="0"/>
              <w:right w:val="single" w:color="auto" w:sz="4" w:space="0"/>
            </w:tcBorders>
            <w:vAlign w:val="center"/>
          </w:tc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cs="??_GB2312"/>
                <w:sz w:val="24"/>
                <w:szCs w:val="24"/>
              </w:rPr>
            </w:pPr>
            <w:r>
              <w:rPr>
                <w:rFonts w:ascii="??_GB2312" w:hAnsi="??_GB2312" w:eastAsia="Times New Roman" w:cs="??_GB2312"/>
                <w:sz w:val="24"/>
                <w:szCs w:val="24"/>
              </w:rPr>
              <w:t>3.</w:t>
            </w:r>
            <w:r>
              <w:rPr>
                <w:rFonts w:hint="eastAsia" w:ascii="宋体" w:hAnsi="宋体" w:cs="宋体"/>
                <w:sz w:val="24"/>
                <w:szCs w:val="24"/>
              </w:rPr>
              <w:t>其他</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tc>
        <w:tc>
          <w:tcPr>
            <w:tcW w:w="310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hint="eastAsia" w:ascii="宋体" w:hAnsi="宋体" w:cs="宋体"/>
                <w:sz w:val="24"/>
                <w:szCs w:val="24"/>
              </w:rPr>
              <w:t>（七）总计</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default" w:ascii="??_GB2312" w:hAnsi="??_GB2312" w:eastAsia="宋体" w:cs="Times New Roman"/>
                <w:kern w:val="2"/>
                <w:sz w:val="24"/>
                <w:szCs w:val="24"/>
                <w:lang w:eastAsia="zh-CN" w:bidi="ar-SA"/>
                <w:woUserID w:val="1"/>
              </w:rPr>
            </w:pPr>
            <w:r>
              <w:rPr>
                <w:rFonts w:hint="default" w:ascii="??_GB2312" w:hAnsi="??_GB2312" w:cs="Times New Roman"/>
                <w:kern w:val="2"/>
                <w:sz w:val="24"/>
                <w:szCs w:val="24"/>
                <w:lang w:eastAsia="zh-CN" w:bidi="ar-SA"/>
                <w:woUserID w:val="1"/>
              </w:rPr>
              <w:t>6</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default" w:ascii="??_GB2312" w:hAnsi="??_GB2312" w:eastAsia="宋体" w:cs="Times New Roman"/>
                <w:kern w:val="2"/>
                <w:sz w:val="24"/>
                <w:szCs w:val="24"/>
                <w:lang w:eastAsia="zh-CN" w:bidi="ar-SA"/>
                <w:woUserID w:val="1"/>
              </w:rPr>
            </w:pPr>
            <w:r>
              <w:rPr>
                <w:rFonts w:hint="default" w:ascii="??_GB2312" w:hAnsi="??_GB2312" w:cs="Times New Roman"/>
                <w:kern w:val="2"/>
                <w:sz w:val="24"/>
                <w:szCs w:val="24"/>
                <w:lang w:eastAsia="zh-CN" w:bidi="ar-SA"/>
                <w:woUserID w:val="1"/>
              </w:rPr>
              <w:t>6</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szCs w:val="24"/>
              </w:rPr>
            </w:pPr>
            <w:r>
              <w:rPr>
                <w:rFonts w:hint="eastAsia" w:ascii="宋体" w:hAnsi="宋体" w:cs="宋体"/>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bl>
    <w:p>
      <w:pPr>
        <w:spacing w:line="560" w:lineRule="exact"/>
        <w:ind w:firstLine="641" w:firstLineChars="200"/>
        <w:rPr>
          <w:rFonts w:ascii="??_GB2312" w:hAnsi="??_GB2312" w:eastAsia="Times New Roman" w:cs="??_GB2312"/>
          <w:b/>
          <w:bCs/>
          <w:sz w:val="32"/>
          <w:szCs w:val="32"/>
        </w:rPr>
      </w:pPr>
      <w:r>
        <w:rPr>
          <w:rFonts w:hint="eastAsia" w:ascii="宋体" w:hAnsi="宋体" w:cs="宋体"/>
          <w:b/>
          <w:bCs/>
          <w:sz w:val="32"/>
          <w:szCs w:val="32"/>
        </w:rPr>
        <w:t>四、政府信息公开行政复议、行政诉讼情况</w:t>
      </w:r>
    </w:p>
    <w:tbl>
      <w:tblPr>
        <w:tblStyle w:val="6"/>
        <w:tblW w:w="8839"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tc>
        <w:tc>
          <w:tcPr>
            <w:tcW w:w="661"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tc>
        <w:tc>
          <w:tcPr>
            <w:tcW w:w="529"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1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17"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72" w:hRule="atLeast"/>
          <w:jc w:val="center"/>
        </w:trPr>
        <w:tc>
          <w:tcPr>
            <w:tcW w:w="58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c>
          <w:tcPr>
            <w:tcW w:w="617"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400" w:lineRule="exact"/>
              <w:jc w:val="center"/>
              <w:rPr>
                <w:rFonts w:hint="eastAsia" w:ascii="??_GB2312" w:hAnsi="??_GB2312" w:eastAsia="宋体" w:cs="??_GB2312"/>
                <w:kern w:val="2"/>
                <w:sz w:val="24"/>
                <w:szCs w:val="24"/>
                <w:lang w:val="en-US" w:eastAsia="zh-CN" w:bidi="ar-SA"/>
              </w:rPr>
            </w:pPr>
            <w:r>
              <w:rPr>
                <w:rFonts w:hint="eastAsia" w:ascii="??_GB2312" w:hAnsi="??_GB2312" w:eastAsia="宋体" w:cs="??_GB2312"/>
                <w:sz w:val="24"/>
                <w:szCs w:val="24"/>
                <w:lang w:val="en-US" w:eastAsia="zh-CN"/>
              </w:rPr>
              <w:t>0</w:t>
            </w:r>
          </w:p>
        </w:tc>
      </w:tr>
    </w:tbl>
    <w:p>
      <w:pPr>
        <w:spacing w:line="560" w:lineRule="exact"/>
        <w:ind w:firstLine="641" w:firstLineChars="200"/>
        <w:rPr>
          <w:rFonts w:ascii="??_GB2312" w:hAnsi="??_GB2312" w:eastAsia="Times New Roman" w:cs="??_GB2312"/>
          <w:b/>
          <w:bCs/>
          <w:sz w:val="32"/>
          <w:szCs w:val="32"/>
        </w:rPr>
      </w:pPr>
      <w:r>
        <w:rPr>
          <w:rFonts w:hint="eastAsia" w:ascii="宋体" w:hAnsi="宋体" w:cs="宋体"/>
          <w:b/>
          <w:bCs/>
          <w:sz w:val="32"/>
          <w:szCs w:val="32"/>
        </w:rPr>
        <w:t>五、存在的主要问题及改进情况</w:t>
      </w:r>
    </w:p>
    <w:p>
      <w:pPr>
        <w:pStyle w:val="5"/>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600" w:lineRule="exact"/>
        <w:ind w:left="0" w:right="0" w:firstLine="640" w:firstLineChars="200"/>
        <w:textAlignment w:val="auto"/>
        <w:rPr>
          <w:rFonts w:hint="eastAsia" w:ascii="楷体_GB2312" w:hAnsi="楷体_GB2312" w:eastAsia="楷体_GB2312" w:cs="楷体_GB2312"/>
          <w:color w:val="000000"/>
          <w:spacing w:val="0"/>
          <w:kern w:val="2"/>
          <w:sz w:val="32"/>
          <w:szCs w:val="32"/>
          <w:shd w:val="clear" w:color="auto" w:fill="auto"/>
          <w:lang w:val="en-US" w:eastAsia="zh-CN" w:bidi="ar-SA"/>
        </w:rPr>
      </w:pPr>
      <w:r>
        <w:rPr>
          <w:rFonts w:hint="eastAsia" w:ascii="楷体_GB2312" w:hAnsi="楷体_GB2312" w:eastAsia="楷体_GB2312" w:cs="楷体_GB2312"/>
          <w:color w:val="000000"/>
          <w:spacing w:val="0"/>
          <w:kern w:val="2"/>
          <w:sz w:val="32"/>
          <w:szCs w:val="32"/>
          <w:shd w:val="clear" w:color="auto" w:fill="auto"/>
          <w:lang w:val="en-US" w:eastAsia="zh-CN" w:bidi="ar-SA"/>
        </w:rPr>
        <w:t>（一）存在问题</w:t>
      </w:r>
    </w:p>
    <w:p>
      <w:pPr>
        <w:pStyle w:val="5"/>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600" w:lineRule="exact"/>
        <w:ind w:left="0" w:right="0" w:firstLine="640" w:firstLineChars="200"/>
        <w:textAlignment w:val="auto"/>
        <w:rPr>
          <w:rFonts w:hint="eastAsia" w:ascii="仿宋_GB2312" w:hAnsi="仿宋_GB2312" w:eastAsia="仿宋_GB2312" w:cs="仿宋_GB2312"/>
          <w:color w:val="000000"/>
          <w:spacing w:val="0"/>
          <w:kern w:val="2"/>
          <w:sz w:val="32"/>
          <w:szCs w:val="32"/>
          <w:shd w:val="clear" w:color="auto" w:fill="auto"/>
          <w:lang w:val="en-US" w:eastAsia="zh-CN" w:bidi="ar-SA"/>
        </w:rPr>
      </w:pPr>
      <w:r>
        <w:rPr>
          <w:rFonts w:hint="eastAsia" w:ascii="仿宋_GB2312" w:hAnsi="仿宋_GB2312" w:eastAsia="仿宋_GB2312" w:cs="仿宋_GB2312"/>
          <w:color w:val="000000"/>
          <w:spacing w:val="0"/>
          <w:kern w:val="2"/>
          <w:sz w:val="32"/>
          <w:szCs w:val="32"/>
          <w:shd w:val="clear" w:color="auto" w:fill="auto"/>
          <w:lang w:val="en-US" w:eastAsia="zh-CN" w:bidi="ar-SA"/>
        </w:rPr>
        <w:t>一是主动公开部分板块内容更新不足。如政策文件、人事任免、计划总结等板块目前为半年一更或者一年一更，频率较低，需要专职工作人员加强信息搜集力度，加大更新频率。二是政务公开机制不够完善。部分政务公开申请内容多，涉及多个部门，工作人员协调能力不足导致答复较慢，平均答复时间超过15个工作日，存在逾期风险。</w:t>
      </w:r>
    </w:p>
    <w:p>
      <w:pPr>
        <w:pStyle w:val="5"/>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600" w:lineRule="exact"/>
        <w:ind w:left="0" w:right="0" w:firstLine="640" w:firstLineChars="200"/>
        <w:textAlignment w:val="auto"/>
        <w:rPr>
          <w:rFonts w:hint="eastAsia" w:ascii="楷体_GB2312" w:hAnsi="楷体_GB2312" w:eastAsia="楷体_GB2312" w:cs="楷体_GB2312"/>
          <w:color w:val="000000"/>
          <w:spacing w:val="0"/>
          <w:kern w:val="2"/>
          <w:sz w:val="32"/>
          <w:szCs w:val="32"/>
          <w:shd w:val="clear" w:color="auto" w:fill="auto"/>
          <w:lang w:val="en-US" w:eastAsia="zh-CN" w:bidi="ar-SA"/>
        </w:rPr>
      </w:pPr>
      <w:r>
        <w:rPr>
          <w:rFonts w:hint="eastAsia" w:ascii="楷体_GB2312" w:hAnsi="楷体_GB2312" w:eastAsia="楷体_GB2312" w:cs="楷体_GB2312"/>
          <w:color w:val="000000"/>
          <w:spacing w:val="0"/>
          <w:kern w:val="2"/>
          <w:sz w:val="32"/>
          <w:szCs w:val="32"/>
          <w:shd w:val="clear" w:color="auto" w:fill="auto"/>
          <w:lang w:val="en-US" w:eastAsia="zh-CN" w:bidi="ar-SA"/>
        </w:rPr>
        <w:t>（二）改进情况</w:t>
      </w:r>
    </w:p>
    <w:p>
      <w:pPr>
        <w:pStyle w:val="5"/>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600" w:lineRule="exact"/>
        <w:ind w:left="0" w:right="0" w:firstLine="640" w:firstLineChars="200"/>
        <w:textAlignment w:val="auto"/>
        <w:rPr>
          <w:rFonts w:ascii="仿宋_GB2312" w:hAnsi="仿宋_GB2312" w:eastAsia="仿宋_GB2312" w:cs="仿宋_GB2312"/>
          <w:color w:val="000000"/>
          <w:spacing w:val="0"/>
          <w:kern w:val="2"/>
          <w:sz w:val="32"/>
          <w:szCs w:val="32"/>
          <w:shd w:val="clear" w:color="auto" w:fill="auto"/>
          <w:lang w:val="en-US" w:eastAsia="zh-CN" w:bidi="ar-SA"/>
        </w:rPr>
      </w:pPr>
      <w:r>
        <w:rPr>
          <w:rFonts w:hint="eastAsia" w:ascii="仿宋_GB2312" w:hAnsi="仿宋_GB2312" w:eastAsia="仿宋_GB2312" w:cs="仿宋_GB2312"/>
          <w:color w:val="000000"/>
          <w:spacing w:val="0"/>
          <w:kern w:val="2"/>
          <w:sz w:val="32"/>
          <w:szCs w:val="32"/>
          <w:shd w:val="clear" w:color="auto" w:fill="auto"/>
          <w:lang w:val="en-US" w:eastAsia="zh-CN" w:bidi="ar-SA"/>
        </w:rPr>
        <w:t>一是加强主动公开的重视力度。引导各办积极报送可公开的政务信息，完善主动公开的内容，推进政府信息全流程、全方位公开。二是提高依申请公开办理质量。充分发挥政务公开领导小组的领导作用，发动各办公室积极配合依申请公开工作，提供群众所需信息，提高基层依申请公开办理效率和答复质量。</w:t>
      </w:r>
    </w:p>
    <w:p>
      <w:pPr>
        <w:spacing w:line="560" w:lineRule="exact"/>
        <w:ind w:firstLine="641" w:firstLineChars="200"/>
        <w:rPr>
          <w:rFonts w:ascii="??_GB2312" w:hAnsi="??_GB2312" w:eastAsia="Times New Roman" w:cs="??_GB2312"/>
          <w:b/>
          <w:bCs/>
          <w:sz w:val="32"/>
          <w:szCs w:val="32"/>
        </w:rPr>
      </w:pPr>
      <w:r>
        <w:rPr>
          <w:rFonts w:hint="eastAsia" w:ascii="宋体" w:hAnsi="宋体" w:cs="宋体"/>
          <w:b/>
          <w:bCs/>
          <w:sz w:val="32"/>
          <w:szCs w:val="32"/>
        </w:rPr>
        <w:t>六、其他需要报告的事项</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val="0"/>
          <w:i w:val="0"/>
          <w:caps w:val="0"/>
          <w:smallCaps w:val="0"/>
          <w:color w:val="000000"/>
          <w:spacing w:val="0"/>
          <w:kern w:val="2"/>
          <w:sz w:val="32"/>
          <w:szCs w:val="32"/>
          <w:lang w:val="en-US" w:eastAsia="zh-CN" w:bidi="ar-SA"/>
        </w:rPr>
      </w:pPr>
      <w:r>
        <w:rPr>
          <w:rFonts w:hint="eastAsia" w:ascii="仿宋_GB2312" w:hAnsi="仿宋_GB2312" w:eastAsia="仿宋_GB2312" w:cs="仿宋_GB2312"/>
          <w:b w:val="0"/>
          <w:i w:val="0"/>
          <w:caps w:val="0"/>
          <w:smallCaps w:val="0"/>
          <w:color w:val="000000"/>
          <w:spacing w:val="0"/>
          <w:kern w:val="2"/>
          <w:sz w:val="32"/>
          <w:szCs w:val="32"/>
          <w:lang w:val="en-US" w:eastAsia="zh-CN" w:bidi="ar-SA"/>
        </w:rPr>
        <w:t>2024年1月1日至12月31日，本单位共收取信息处理费0元。</w:t>
      </w:r>
    </w:p>
    <w:p>
      <w:pPr>
        <w:spacing w:line="560" w:lineRule="exact"/>
        <w:ind w:firstLine="640" w:firstLineChars="200"/>
        <w:rPr>
          <w:rFonts w:ascii="??_GB2312" w:hAnsi="??_GB2312" w:eastAsia="Times New Roman" w:cs="??_GB2312"/>
          <w:sz w:val="32"/>
          <w:szCs w:val="32"/>
        </w:rPr>
      </w:pPr>
    </w:p>
    <w:p>
      <w:pPr>
        <w:spacing w:line="560" w:lineRule="exact"/>
        <w:ind w:firstLine="640" w:firstLineChars="200"/>
        <w:rPr>
          <w:rFonts w:ascii="??_GB2312" w:hAnsi="??_GB2312" w:eastAsia="Times New Roman" w:cs="??_GB2312"/>
          <w:sz w:val="32"/>
          <w:szCs w:val="32"/>
        </w:rPr>
      </w:pPr>
    </w:p>
    <w:p>
      <w:pPr>
        <w:spacing w:line="560" w:lineRule="exact"/>
        <w:ind w:firstLine="640" w:firstLineChars="200"/>
        <w:rPr>
          <w:rFonts w:ascii="??_GB2312" w:hAnsi="??_GB2312" w:eastAsia="Times New Roman" w:cs="??_GB2312"/>
          <w:sz w:val="32"/>
          <w:szCs w:val="32"/>
        </w:rPr>
      </w:pP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ascii="仿宋_GB2312" w:hAnsi="仿宋_GB2312" w:eastAsia="仿宋_GB2312" w:cs="仿宋_GB2312"/>
          <w:sz w:val="32"/>
          <w:szCs w:val="32"/>
          <w:lang w:val="en-US" w:eastAsia="zh-CN"/>
        </w:rPr>
      </w:pPr>
      <w:r>
        <w:rPr>
          <w:rFonts w:ascii="??_GB2312" w:hAnsi="??_GB2312" w:eastAsia="Times New Roman" w:cs="??_GB2312"/>
          <w:sz w:val="32"/>
          <w:szCs w:val="32"/>
        </w:rPr>
        <w:t xml:space="preserve">                      </w:t>
      </w:r>
      <w:r>
        <w:rPr>
          <w:rFonts w:hint="eastAsia" w:ascii="仿宋_GB2312" w:hAnsi="仿宋_GB2312" w:eastAsia="仿宋_GB2312" w:cs="仿宋_GB2312"/>
          <w:sz w:val="32"/>
          <w:szCs w:val="32"/>
          <w:lang w:val="en-US" w:eastAsia="zh-CN"/>
        </w:rPr>
        <w:t xml:space="preserve">龙山镇人民政府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2025年1月2日</w:t>
      </w:r>
    </w:p>
    <w:p>
      <w:pPr>
        <w:spacing w:line="560" w:lineRule="exact"/>
        <w:ind w:firstLine="640" w:firstLineChars="200"/>
        <w:jc w:val="center"/>
        <w:rPr>
          <w:rFonts w:ascii="??_GB2312" w:hAnsi="??_GB2312" w:eastAsia="Times New Roman" w:cs="??_GB2312"/>
          <w:sz w:val="32"/>
          <w:szCs w:val="32"/>
        </w:rPr>
      </w:pPr>
    </w:p>
    <w:p>
      <w:pPr>
        <w:spacing w:line="560" w:lineRule="exact"/>
        <w:ind w:firstLine="640" w:firstLineChars="200"/>
        <w:rPr>
          <w:rFonts w:ascii="??_GB2312" w:hAnsi="??_GB2312" w:eastAsia="Times New Roman" w:cs="??_GB2312"/>
          <w:sz w:val="32"/>
          <w:szCs w:val="32"/>
        </w:rPr>
      </w:pPr>
    </w:p>
    <w:p>
      <w:pPr>
        <w:spacing w:line="560" w:lineRule="exact"/>
        <w:ind w:firstLine="640" w:firstLineChars="200"/>
        <w:rPr>
          <w:rFonts w:ascii="??_GB2312" w:hAnsi="??_GB2312" w:eastAsia="Times New Roman" w:cs="??_GB2312"/>
          <w:sz w:val="32"/>
          <w:szCs w:val="32"/>
        </w:rPr>
      </w:pPr>
    </w:p>
    <w:p>
      <w:pPr>
        <w:spacing w:line="560" w:lineRule="exact"/>
        <w:ind w:firstLine="640" w:firstLineChars="200"/>
        <w:rPr>
          <w:rFonts w:ascii="??_GB2312" w:hAnsi="??_GB2312" w:eastAsia="Times New Roman" w:cs="??_GB2312"/>
          <w:sz w:val="32"/>
          <w:szCs w:val="32"/>
        </w:rPr>
      </w:pPr>
    </w:p>
    <w:p>
      <w:pPr>
        <w:spacing w:line="560" w:lineRule="exact"/>
        <w:ind w:firstLine="640" w:firstLineChars="200"/>
        <w:rPr>
          <w:rFonts w:ascii="??_GB2312" w:hAnsi="??_GB2312" w:eastAsia="Times New Roman" w:cs="??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00000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Lucida Sans">
    <w:altName w:val="DejaVu Sans"/>
    <w:panose1 w:val="020B0602030504020204"/>
    <w:charset w:val="00"/>
    <w:family w:val="auto"/>
    <w:pitch w:val="default"/>
    <w:sig w:usb0="00000000" w:usb1="00000000" w:usb2="00000000" w:usb3="00000000" w:csb0="20000001" w:csb1="00000000"/>
  </w:font>
  <w:font w:name="方正小标宋简体">
    <w:altName w:val="汉仪书宋二KW"/>
    <w:panose1 w:val="03000509000000000000"/>
    <w:charset w:val="86"/>
    <w:family w:val="auto"/>
    <w:pitch w:val="default"/>
    <w:sig w:usb0="00000000" w:usb1="00000000" w:usb2="00000000" w:usb3="00000000" w:csb0="00040000" w:csb1="00000000"/>
  </w:font>
  <w:font w:name="??_GB2312">
    <w:altName w:val="DejaVu Sans"/>
    <w:panose1 w:val="00000000000000000000"/>
    <w:charset w:val="00"/>
    <w:family w:val="auto"/>
    <w:pitch w:val="default"/>
    <w:sig w:usb0="00000000" w:usb1="00000000" w:usb2="00000000" w:usb3="00000000" w:csb0="00000001" w:csb1="00000000"/>
  </w:font>
  <w:font w:name="仿宋_GB2312">
    <w:altName w:val="汉仪仿宋KW"/>
    <w:panose1 w:val="02010609030101010101"/>
    <w:charset w:val="86"/>
    <w:family w:val="modern"/>
    <w:pitch w:val="default"/>
    <w:sig w:usb0="00000000" w:usb1="00000000" w:usb2="00000000" w:usb3="00000000" w:csb0="00040000" w:csb1="00000000"/>
  </w:font>
  <w:font w:name="楷体_GB2312">
    <w:altName w:val="汉仪楷体KW"/>
    <w:panose1 w:val="02010609030101010101"/>
    <w:charset w:val="86"/>
    <w:family w:val="auto"/>
    <w:pitch w:val="default"/>
    <w:sig w:usb0="00000000" w:usb1="00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仿宋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M2FiYzY3MGNhMjI3NzMyY2ZhYTc4ZjBkZmQ2ZWNjYjIifQ=="/>
  </w:docVars>
  <w:rsids>
    <w:rsidRoot w:val="00000000"/>
    <w:rsid w:val="FFC9B03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Lucida Sans"/>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8"/>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
    <w:qFormat/>
    <w:uiPriority w:val="0"/>
    <w:pPr>
      <w:keepNext/>
      <w:keepLines/>
      <w:spacing w:before="260" w:after="260" w:line="415" w:lineRule="auto"/>
      <w:outlineLvl w:val="1"/>
    </w:pPr>
    <w:rPr>
      <w:rFonts w:ascii="宋体" w:hAnsi="宋体" w:eastAsia="黑体"/>
      <w:b/>
      <w:bCs/>
      <w:sz w:val="32"/>
      <w:szCs w:val="32"/>
    </w:rPr>
  </w:style>
  <w:style w:type="paragraph" w:styleId="4">
    <w:name w:val="heading 3"/>
    <w:basedOn w:val="1"/>
    <w:next w:val="1"/>
    <w:link w:val="10"/>
    <w:qFormat/>
    <w:uiPriority w:val="0"/>
    <w:pPr>
      <w:keepNext/>
      <w:keepLines/>
      <w:spacing w:before="260" w:after="260" w:line="415" w:lineRule="auto"/>
      <w:outlineLvl w:val="2"/>
    </w:pPr>
    <w:rPr>
      <w:b/>
      <w:bCs/>
      <w:sz w:val="32"/>
      <w:szCs w:val="32"/>
    </w:rPr>
  </w:style>
  <w:style w:type="character" w:default="1" w:styleId="7">
    <w:name w:val="Default Paragraph Font"/>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5">
    <w:name w:val="Normal (Web)"/>
    <w:basedOn w:val="1"/>
    <w:qFormat/>
    <w:uiPriority w:val="0"/>
    <w:rPr>
      <w:rFonts w:ascii="Times New Roman" w:hAnsi="Times New Roman"/>
      <w:sz w:val="24"/>
      <w:szCs w:val="24"/>
    </w:rPr>
  </w:style>
  <w:style w:type="character" w:customStyle="1" w:styleId="8">
    <w:name w:val="heading 1 Char"/>
    <w:basedOn w:val="7"/>
    <w:link w:val="2"/>
    <w:uiPriority w:val="0"/>
    <w:rPr>
      <w:rFonts w:ascii="Calibri" w:hAnsi="Calibri" w:eastAsia="宋体" w:cs="Times New Roman"/>
      <w:b/>
      <w:bCs/>
      <w:kern w:val="44"/>
      <w:sz w:val="44"/>
      <w:szCs w:val="44"/>
      <w:lang w:val="en-US" w:eastAsia="zh-CN" w:bidi="ar-SA"/>
    </w:rPr>
  </w:style>
  <w:style w:type="character" w:customStyle="1" w:styleId="9">
    <w:name w:val="heading 2 Char"/>
    <w:basedOn w:val="7"/>
    <w:link w:val="3"/>
    <w:uiPriority w:val="0"/>
    <w:rPr>
      <w:rFonts w:ascii="宋体" w:hAnsi="Calibri" w:eastAsia="黑体" w:cs="Times New Roman"/>
      <w:b/>
      <w:bCs/>
      <w:kern w:val="2"/>
      <w:sz w:val="32"/>
      <w:szCs w:val="32"/>
      <w:lang w:val="en-US" w:eastAsia="zh-CN" w:bidi="ar-SA"/>
    </w:rPr>
  </w:style>
  <w:style w:type="character" w:customStyle="1" w:styleId="10">
    <w:name w:val="heading 3 Char"/>
    <w:basedOn w:val="7"/>
    <w:link w:val="4"/>
    <w:uiPriority w:val="0"/>
    <w:rPr>
      <w:rFonts w:ascii="Calibri" w:hAnsi="Calibri" w:eastAsia="宋体" w:cs="Times New Roman"/>
      <w:b/>
      <w:bCs/>
      <w:kern w:val="2"/>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rgbClr val="000000"/>
      </a:dk1>
      <a:lt1>
        <a:srgbClr val="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
        <a:ea typeface=""/>
        <a:cs typeface=""/>
      </a:majorFont>
      <a:minorFont>
        <a:latin typeface=""/>
        <a:ea typeface=""/>
        <a:cs typeface=""/>
      </a:minorFont>
    </a:fontScheme>
    <a:fmtScheme name="WPS">
      <a:fillStyleLst>
        <a:solidFill>
          <a:schemeClr val="phClr"/>
        </a:solidFill>
        <a:gradFill rotWithShape="1">
          <a:gsLst>
            <a:gs pos="0">
              <a:schemeClr val="phClr">
                <a:lumOff val="17500"/>
              </a:schemeClr>
            </a:gs>
            <a:gs pos="100000">
              <a:schemeClr val="phClr"/>
            </a:gs>
          </a:gsLst>
          <a:lin ang="2700000" scaled="1"/>
        </a:gradFill>
        <a:gradFill rotWithShape="1">
          <a:gsLst>
            <a:gs pos="0">
              <a:schemeClr val="phClr">
                <a:hueOff val="-2520000"/>
              </a:schemeClr>
            </a:gs>
            <a:gs pos="100000">
              <a:schemeClr val="phClr"/>
            </a:gs>
          </a:gsLst>
          <a:lin ang="2700000" scaled="1"/>
        </a:gradFill>
      </a:fillStyleLst>
      <a:lnStyleLst>
        <a:ln w="12700" cap="flat" cmpd="sng">
          <a:solidFill>
            <a:schemeClr val="phClr"/>
          </a:solidFill>
          <a:prstDash val="solid"/>
          <a:miter/>
        </a:ln>
        <a:ln w="12700" cap="flat" cmpd="sng">
          <a:solidFill>
            <a:schemeClr val="phClr"/>
          </a:solidFill>
          <a:prstDash val="solid"/>
          <a:miter/>
        </a:ln>
        <a:ln w="12700" cap="flat" cmpd="sng">
          <a:gradFill rotWithShape="1">
            <a:gsLst>
              <a:gs pos="0">
                <a:schemeClr val="phClr">
                  <a:hueOff val="-4200000"/>
                </a:schemeClr>
              </a:gs>
              <a:gs pos="100000">
                <a:schemeClr val="phClr"/>
              </a:gs>
            </a:gsLst>
            <a:lin ang="2700000" scaled="1"/>
          </a:gradFill>
          <a:prstDash val="solid"/>
          <a:miter/>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0</Words>
  <Characters>1854</Characters>
  <Lines>0</Lines>
  <Paragraphs>35</Paragraphs>
  <TotalTime>1008</TotalTime>
  <ScaleCrop>false</ScaleCrop>
  <LinksUpToDate>false</LinksUpToDate>
  <CharactersWithSpaces>2472</CharactersWithSpaces>
  <Application>WWO_openplatform_20210507165418-e6971cd0a6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2025-01-02T14:42:00Z</dcterms:created>
  <dc:creator>陈嘉昊</dc:creator>
  <cp:lastModifiedBy>thtf</cp:lastModifiedBy>
  <dcterms:modified xsi:type="dcterms:W3CDTF">2025-01-07T09:44:13Z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02FA7A63094B4285894147E1F377AFF1_11</vt:lpwstr>
  </property>
</Properties>
</file>