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w:t>
      </w:r>
    </w:p>
    <w:p>
      <w:pPr>
        <w:spacing w:line="580" w:lineRule="exact"/>
        <w:jc w:val="center"/>
        <w:rPr>
          <w:rFonts w:ascii="方正小标宋简体" w:eastAsia="方正小标宋简体"/>
          <w:sz w:val="40"/>
          <w:szCs w:val="40"/>
        </w:rPr>
      </w:pPr>
      <w:r>
        <w:rPr>
          <w:rFonts w:hint="eastAsia" w:ascii="方正小标宋简体" w:eastAsia="方正小标宋简体"/>
          <w:sz w:val="40"/>
          <w:szCs w:val="40"/>
        </w:rPr>
        <w:t>胜山镇2020年东西部扶贫协作考核职责任务分解表</w:t>
      </w:r>
    </w:p>
    <w:tbl>
      <w:tblPr>
        <w:tblStyle w:val="5"/>
        <w:tblpPr w:leftFromText="180" w:rightFromText="180" w:vertAnchor="text" w:horzAnchor="margin" w:tblpXSpec="center" w:tblpY="422"/>
        <w:tblW w:w="122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4536"/>
        <w:gridCol w:w="1985"/>
        <w:gridCol w:w="1417"/>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17" w:type="dxa"/>
            <w:vMerge w:val="restart"/>
            <w:vAlign w:val="center"/>
          </w:tcPr>
          <w:p>
            <w:pPr>
              <w:widowControl w:val="0"/>
              <w:spacing w:after="0" w:line="360" w:lineRule="exact"/>
              <w:jc w:val="center"/>
              <w:rPr>
                <w:rFonts w:ascii="黑体" w:eastAsia="黑体"/>
                <w:sz w:val="24"/>
                <w:szCs w:val="20"/>
              </w:rPr>
            </w:pPr>
            <w:r>
              <w:rPr>
                <w:rFonts w:hint="eastAsia" w:ascii="黑体" w:eastAsia="黑体"/>
                <w:sz w:val="24"/>
                <w:szCs w:val="20"/>
              </w:rPr>
              <w:t>序号</w:t>
            </w:r>
          </w:p>
        </w:tc>
        <w:tc>
          <w:tcPr>
            <w:tcW w:w="1276" w:type="dxa"/>
            <w:vMerge w:val="restart"/>
            <w:vAlign w:val="center"/>
          </w:tcPr>
          <w:p>
            <w:pPr>
              <w:widowControl w:val="0"/>
              <w:spacing w:after="0" w:line="360" w:lineRule="exact"/>
              <w:jc w:val="center"/>
              <w:rPr>
                <w:rFonts w:ascii="黑体" w:eastAsia="黑体"/>
                <w:sz w:val="24"/>
                <w:szCs w:val="20"/>
              </w:rPr>
            </w:pPr>
            <w:r>
              <w:rPr>
                <w:rFonts w:hint="eastAsia" w:ascii="黑体" w:eastAsia="黑体"/>
                <w:sz w:val="24"/>
                <w:szCs w:val="20"/>
              </w:rPr>
              <w:t>考核项目</w:t>
            </w:r>
          </w:p>
        </w:tc>
        <w:tc>
          <w:tcPr>
            <w:tcW w:w="4536" w:type="dxa"/>
            <w:vMerge w:val="restart"/>
            <w:vAlign w:val="center"/>
          </w:tcPr>
          <w:p>
            <w:pPr>
              <w:widowControl w:val="0"/>
              <w:spacing w:after="0" w:line="360" w:lineRule="exact"/>
              <w:jc w:val="center"/>
              <w:rPr>
                <w:rFonts w:ascii="黑体" w:eastAsia="黑体"/>
                <w:sz w:val="24"/>
                <w:szCs w:val="20"/>
              </w:rPr>
            </w:pPr>
            <w:r>
              <w:rPr>
                <w:rFonts w:hint="eastAsia" w:ascii="黑体" w:eastAsia="黑体"/>
                <w:sz w:val="24"/>
                <w:szCs w:val="20"/>
              </w:rPr>
              <w:t>市对镇考核内容及计分规则</w:t>
            </w:r>
          </w:p>
        </w:tc>
        <w:tc>
          <w:tcPr>
            <w:tcW w:w="1985" w:type="dxa"/>
            <w:vMerge w:val="restart"/>
            <w:vAlign w:val="center"/>
          </w:tcPr>
          <w:p>
            <w:pPr>
              <w:widowControl w:val="0"/>
              <w:spacing w:after="0" w:line="360" w:lineRule="exact"/>
              <w:jc w:val="center"/>
              <w:rPr>
                <w:rFonts w:ascii="黑体" w:eastAsia="黑体"/>
                <w:sz w:val="24"/>
                <w:szCs w:val="20"/>
              </w:rPr>
            </w:pPr>
            <w:r>
              <w:rPr>
                <w:rFonts w:hint="eastAsia" w:ascii="黑体" w:eastAsia="黑体"/>
                <w:sz w:val="24"/>
                <w:szCs w:val="20"/>
              </w:rPr>
              <w:t>市考核责任部门</w:t>
            </w:r>
          </w:p>
        </w:tc>
        <w:tc>
          <w:tcPr>
            <w:tcW w:w="3685" w:type="dxa"/>
            <w:gridSpan w:val="2"/>
            <w:vAlign w:val="center"/>
          </w:tcPr>
          <w:p>
            <w:pPr>
              <w:widowControl w:val="0"/>
              <w:spacing w:after="0" w:line="360" w:lineRule="exact"/>
              <w:jc w:val="center"/>
              <w:rPr>
                <w:rFonts w:ascii="黑体" w:eastAsia="黑体"/>
                <w:sz w:val="24"/>
                <w:szCs w:val="20"/>
              </w:rPr>
            </w:pPr>
            <w:r>
              <w:rPr>
                <w:rFonts w:hint="eastAsia" w:ascii="黑体" w:eastAsia="黑体"/>
                <w:sz w:val="24"/>
                <w:szCs w:val="20"/>
              </w:rPr>
              <w:t>镇落实部门（单位）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17" w:type="dxa"/>
            <w:vMerge w:val="continue"/>
            <w:vAlign w:val="center"/>
          </w:tcPr>
          <w:p>
            <w:pPr>
              <w:widowControl w:val="0"/>
              <w:spacing w:after="0" w:line="360" w:lineRule="exact"/>
              <w:jc w:val="center"/>
              <w:rPr>
                <w:rFonts w:ascii="黑体" w:eastAsia="黑体"/>
                <w:sz w:val="24"/>
                <w:szCs w:val="20"/>
              </w:rPr>
            </w:pPr>
          </w:p>
        </w:tc>
        <w:tc>
          <w:tcPr>
            <w:tcW w:w="1276" w:type="dxa"/>
            <w:vMerge w:val="continue"/>
            <w:vAlign w:val="center"/>
          </w:tcPr>
          <w:p>
            <w:pPr>
              <w:widowControl w:val="0"/>
              <w:spacing w:after="0" w:line="360" w:lineRule="exact"/>
              <w:jc w:val="center"/>
              <w:rPr>
                <w:rFonts w:ascii="黑体" w:eastAsia="黑体"/>
                <w:sz w:val="24"/>
                <w:szCs w:val="20"/>
              </w:rPr>
            </w:pPr>
          </w:p>
        </w:tc>
        <w:tc>
          <w:tcPr>
            <w:tcW w:w="4536" w:type="dxa"/>
            <w:vMerge w:val="continue"/>
            <w:vAlign w:val="center"/>
          </w:tcPr>
          <w:p>
            <w:pPr>
              <w:widowControl w:val="0"/>
              <w:spacing w:after="0" w:line="360" w:lineRule="exact"/>
              <w:jc w:val="center"/>
              <w:rPr>
                <w:rFonts w:ascii="黑体" w:eastAsia="黑体"/>
                <w:sz w:val="24"/>
                <w:szCs w:val="20"/>
              </w:rPr>
            </w:pPr>
          </w:p>
        </w:tc>
        <w:tc>
          <w:tcPr>
            <w:tcW w:w="1985" w:type="dxa"/>
            <w:vMerge w:val="continue"/>
            <w:vAlign w:val="center"/>
          </w:tcPr>
          <w:p>
            <w:pPr>
              <w:widowControl w:val="0"/>
              <w:spacing w:after="0" w:line="360" w:lineRule="exact"/>
              <w:jc w:val="center"/>
              <w:rPr>
                <w:rFonts w:ascii="黑体" w:eastAsia="黑体"/>
                <w:sz w:val="24"/>
                <w:szCs w:val="20"/>
              </w:rPr>
            </w:pPr>
          </w:p>
        </w:tc>
        <w:tc>
          <w:tcPr>
            <w:tcW w:w="1417" w:type="dxa"/>
            <w:vAlign w:val="center"/>
          </w:tcPr>
          <w:p>
            <w:pPr>
              <w:widowControl w:val="0"/>
              <w:spacing w:after="0" w:line="360" w:lineRule="exact"/>
              <w:jc w:val="center"/>
              <w:rPr>
                <w:rFonts w:ascii="黑体" w:eastAsia="黑体"/>
                <w:sz w:val="24"/>
                <w:szCs w:val="20"/>
              </w:rPr>
            </w:pPr>
            <w:r>
              <w:rPr>
                <w:rFonts w:hint="eastAsia" w:ascii="黑体" w:eastAsia="黑体"/>
                <w:sz w:val="24"/>
                <w:szCs w:val="20"/>
              </w:rPr>
              <w:t>牵头单位</w:t>
            </w:r>
          </w:p>
        </w:tc>
        <w:tc>
          <w:tcPr>
            <w:tcW w:w="2268" w:type="dxa"/>
            <w:vAlign w:val="center"/>
          </w:tcPr>
          <w:p>
            <w:pPr>
              <w:widowControl w:val="0"/>
              <w:spacing w:after="0" w:line="360" w:lineRule="exact"/>
              <w:jc w:val="center"/>
              <w:rPr>
                <w:rFonts w:ascii="黑体" w:eastAsia="黑体"/>
                <w:sz w:val="24"/>
                <w:szCs w:val="20"/>
              </w:rPr>
            </w:pPr>
            <w:r>
              <w:rPr>
                <w:rFonts w:hint="eastAsia" w:ascii="黑体" w:eastAsia="黑体"/>
                <w:sz w:val="24"/>
                <w:szCs w:val="20"/>
              </w:rPr>
              <w:t>参与单位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trPr>
        <w:tc>
          <w:tcPr>
            <w:tcW w:w="817" w:type="dxa"/>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w:t>
            </w:r>
          </w:p>
        </w:tc>
        <w:tc>
          <w:tcPr>
            <w:tcW w:w="1276" w:type="dxa"/>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工作计划</w:t>
            </w:r>
          </w:p>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（10分）</w:t>
            </w:r>
          </w:p>
        </w:tc>
        <w:tc>
          <w:tcPr>
            <w:tcW w:w="4536" w:type="dxa"/>
            <w:vAlign w:val="center"/>
          </w:tcPr>
          <w:p>
            <w:pPr>
              <w:widowControl w:val="0"/>
              <w:spacing w:after="0" w:line="360" w:lineRule="exact"/>
              <w:jc w:val="left"/>
              <w:rPr>
                <w:rFonts w:asciiTheme="minorEastAsia" w:hAnsiTheme="minorEastAsia" w:eastAsiaTheme="minorEastAsia"/>
                <w:bCs/>
                <w:sz w:val="18"/>
                <w:szCs w:val="18"/>
              </w:rPr>
            </w:pPr>
            <w:r>
              <w:rPr>
                <w:rFonts w:hint="eastAsia" w:asciiTheme="minorEastAsia" w:hAnsiTheme="minorEastAsia" w:eastAsiaTheme="minorEastAsia"/>
                <w:bCs/>
                <w:sz w:val="18"/>
                <w:szCs w:val="18"/>
              </w:rPr>
              <w:t>完善工作专班和机制，根据市东西部扶贫协作工作要点制定年度工作计划，并推进落实；切实加强与兴仁市回龙镇结对工作对接和协调，签订年度协议，每年一次以上赴对口帮扶地开展结对帮扶活动。未达要求酌情扣分。</w:t>
            </w:r>
          </w:p>
        </w:tc>
        <w:tc>
          <w:tcPr>
            <w:tcW w:w="1985"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市对口支援办</w:t>
            </w:r>
          </w:p>
        </w:tc>
        <w:tc>
          <w:tcPr>
            <w:tcW w:w="1417"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镇党政办</w:t>
            </w:r>
          </w:p>
        </w:tc>
        <w:tc>
          <w:tcPr>
            <w:tcW w:w="2268"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镇发服办</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817" w:type="dxa"/>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w:t>
            </w:r>
          </w:p>
        </w:tc>
        <w:tc>
          <w:tcPr>
            <w:tcW w:w="1276" w:type="dxa"/>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产业投资</w:t>
            </w:r>
          </w:p>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（30分）</w:t>
            </w:r>
          </w:p>
        </w:tc>
        <w:tc>
          <w:tcPr>
            <w:tcW w:w="4536" w:type="dxa"/>
            <w:vAlign w:val="center"/>
          </w:tcPr>
          <w:p>
            <w:pPr>
              <w:widowControl w:val="0"/>
              <w:spacing w:after="0" w:line="360" w:lineRule="exact"/>
              <w:jc w:val="left"/>
              <w:rPr>
                <w:rFonts w:asciiTheme="minorEastAsia" w:hAnsiTheme="minorEastAsia" w:eastAsiaTheme="minorEastAsia"/>
                <w:bCs/>
                <w:sz w:val="18"/>
                <w:szCs w:val="18"/>
              </w:rPr>
            </w:pPr>
            <w:r>
              <w:rPr>
                <w:rFonts w:hint="eastAsia" w:asciiTheme="minorEastAsia" w:hAnsiTheme="minorEastAsia" w:eastAsiaTheme="minorEastAsia"/>
                <w:bCs/>
                <w:sz w:val="18"/>
                <w:szCs w:val="18"/>
              </w:rPr>
              <w:t>组织引导辖区企业到安龙县、兴仁市开展考察投资，其中落实到慈溪·安龙万洋众创城投资企业数1家以上，确保已签约企业按期完成企业入园并实现投产。未完成不得分。</w:t>
            </w:r>
          </w:p>
        </w:tc>
        <w:tc>
          <w:tcPr>
            <w:tcW w:w="1985"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市经信局</w:t>
            </w:r>
          </w:p>
        </w:tc>
        <w:tc>
          <w:tcPr>
            <w:tcW w:w="1417"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镇发服办</w:t>
            </w:r>
          </w:p>
        </w:tc>
        <w:tc>
          <w:tcPr>
            <w:tcW w:w="2268"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镇商会</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镇工业投资公司</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相关企业（行业协会）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817" w:type="dxa"/>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3</w:t>
            </w:r>
          </w:p>
        </w:tc>
        <w:tc>
          <w:tcPr>
            <w:tcW w:w="1276" w:type="dxa"/>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劳务协作</w:t>
            </w:r>
          </w:p>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（10分）</w:t>
            </w:r>
          </w:p>
        </w:tc>
        <w:tc>
          <w:tcPr>
            <w:tcW w:w="4536" w:type="dxa"/>
            <w:vAlign w:val="center"/>
          </w:tcPr>
          <w:p>
            <w:pPr>
              <w:widowControl w:val="0"/>
              <w:spacing w:after="0" w:line="360" w:lineRule="exact"/>
              <w:jc w:val="left"/>
              <w:rPr>
                <w:rFonts w:asciiTheme="minorEastAsia" w:hAnsiTheme="minorEastAsia" w:eastAsiaTheme="minorEastAsia"/>
                <w:bCs/>
                <w:sz w:val="18"/>
                <w:szCs w:val="18"/>
              </w:rPr>
            </w:pPr>
            <w:r>
              <w:rPr>
                <w:rFonts w:hint="eastAsia" w:asciiTheme="minorEastAsia" w:hAnsiTheme="minorEastAsia" w:eastAsiaTheme="minorEastAsia"/>
                <w:bCs/>
                <w:sz w:val="18"/>
                <w:szCs w:val="18"/>
              </w:rPr>
              <w:t>组织发动辖区内企业开发“爱心岗位”，吸纳兴仁、安龙籍建档立卡贫困劳动力稳定就业，指导督促企业做好贫困劳动力稳定就业工作，积极做好贫困劳动力就业情况的调查、核实和佐证资料的收集工作。指标任务完成率60%以下不得分，60%（含）-80%得5分，80%及以上按比例得分。未完成酌情扣分。</w:t>
            </w:r>
          </w:p>
        </w:tc>
        <w:tc>
          <w:tcPr>
            <w:tcW w:w="1985"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市人力社保局</w:t>
            </w:r>
          </w:p>
        </w:tc>
        <w:tc>
          <w:tcPr>
            <w:tcW w:w="1417"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镇发服办</w:t>
            </w:r>
          </w:p>
        </w:tc>
        <w:tc>
          <w:tcPr>
            <w:tcW w:w="2268"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镇商会（行业协会）</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相关企业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4</w:t>
            </w:r>
          </w:p>
        </w:tc>
        <w:tc>
          <w:tcPr>
            <w:tcW w:w="1276" w:type="dxa"/>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消费扶贫</w:t>
            </w:r>
          </w:p>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（10分）</w:t>
            </w:r>
          </w:p>
        </w:tc>
        <w:tc>
          <w:tcPr>
            <w:tcW w:w="4536" w:type="dxa"/>
            <w:vAlign w:val="center"/>
          </w:tcPr>
          <w:p>
            <w:pPr>
              <w:widowControl w:val="0"/>
              <w:spacing w:after="0" w:line="360" w:lineRule="exact"/>
              <w:jc w:val="left"/>
              <w:rPr>
                <w:rFonts w:asciiTheme="minorEastAsia" w:hAnsiTheme="minorEastAsia" w:eastAsiaTheme="minorEastAsia"/>
                <w:bCs/>
                <w:sz w:val="18"/>
                <w:szCs w:val="18"/>
              </w:rPr>
            </w:pPr>
            <w:r>
              <w:rPr>
                <w:rFonts w:hint="eastAsia" w:asciiTheme="minorEastAsia" w:hAnsiTheme="minorEastAsia" w:eastAsiaTheme="minorEastAsia"/>
                <w:bCs/>
                <w:sz w:val="18"/>
                <w:szCs w:val="18"/>
              </w:rPr>
              <w:t>广泛参与消费扶贫，推进实施单位购销、结对助销、企业代销、活动展销、电商营销、基地订销等消费扶贫行动。按要求完成对口地区农特产品采购额150万元得10分。采购结对地区扶贫产品的任务完成率低于80%的扣10分，每超额5个百分点加1分，最多加3分；在镇级农贸市场开设对口地区农特产品展示展销专柜且实际经营面积不少于1平方米的，可酌情加2分（专柜开设时间不迟于8月份，开设完成需及时向市商务局备案）。</w:t>
            </w:r>
          </w:p>
        </w:tc>
        <w:tc>
          <w:tcPr>
            <w:tcW w:w="1985"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市商务局</w:t>
            </w:r>
          </w:p>
        </w:tc>
        <w:tc>
          <w:tcPr>
            <w:tcW w:w="1417"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镇发服办</w:t>
            </w:r>
          </w:p>
        </w:tc>
        <w:tc>
          <w:tcPr>
            <w:tcW w:w="2268"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镇商会</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镇总工会</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镇慈善会</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村慈善分会</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镇教办</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镇卫生院</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镇农贸市场等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817" w:type="dxa"/>
            <w:vMerge w:val="restart"/>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5</w:t>
            </w:r>
          </w:p>
        </w:tc>
        <w:tc>
          <w:tcPr>
            <w:tcW w:w="1276" w:type="dxa"/>
            <w:vMerge w:val="restart"/>
            <w:vAlign w:val="center"/>
          </w:tcPr>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社会帮扶</w:t>
            </w:r>
          </w:p>
          <w:p>
            <w:pPr>
              <w:widowControl w:val="0"/>
              <w:spacing w:after="0"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（20分）</w:t>
            </w:r>
          </w:p>
        </w:tc>
        <w:tc>
          <w:tcPr>
            <w:tcW w:w="4536" w:type="dxa"/>
            <w:vAlign w:val="center"/>
          </w:tcPr>
          <w:p>
            <w:pPr>
              <w:widowControl w:val="0"/>
              <w:spacing w:after="0" w:line="360" w:lineRule="exact"/>
              <w:jc w:val="left"/>
              <w:rPr>
                <w:rFonts w:asciiTheme="minorEastAsia" w:hAnsiTheme="minorEastAsia" w:eastAsiaTheme="minorEastAsia"/>
                <w:bCs/>
                <w:sz w:val="18"/>
                <w:szCs w:val="18"/>
              </w:rPr>
            </w:pPr>
            <w:r>
              <w:rPr>
                <w:rFonts w:hint="eastAsia" w:asciiTheme="minorEastAsia" w:hAnsiTheme="minorEastAsia" w:eastAsiaTheme="minorEastAsia"/>
                <w:bCs/>
                <w:sz w:val="18"/>
                <w:szCs w:val="18"/>
              </w:rPr>
              <w:t>9月底前援助对口帮扶地区社会资金、物资到位情况（浒山街道、古塘街道、白沙路街道、宗汉街道、横河镇、周巷镇、观海卫镇、龙山镇、逍林镇各筹集社会帮扶资金75万元以上，坎墩街道、掌起镇、附海镇、桥头镇、胜山镇、新浦镇、匡堰镇、崇寿镇、长河镇各筹集55万元以上）。总额最高的镇（街道）得20分，其他按比例得分。</w:t>
            </w:r>
          </w:p>
        </w:tc>
        <w:tc>
          <w:tcPr>
            <w:tcW w:w="1985"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市对口支援办</w:t>
            </w:r>
          </w:p>
        </w:tc>
        <w:tc>
          <w:tcPr>
            <w:tcW w:w="1417"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镇党政办</w:t>
            </w:r>
          </w:p>
        </w:tc>
        <w:tc>
          <w:tcPr>
            <w:tcW w:w="2268"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镇慈善会</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镇发服办</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trPr>
        <w:tc>
          <w:tcPr>
            <w:tcW w:w="817" w:type="dxa"/>
            <w:vMerge w:val="continue"/>
            <w:vAlign w:val="center"/>
          </w:tcPr>
          <w:p>
            <w:pPr>
              <w:widowControl w:val="0"/>
              <w:spacing w:after="0" w:line="360" w:lineRule="exact"/>
              <w:jc w:val="center"/>
              <w:rPr>
                <w:rFonts w:asciiTheme="minorEastAsia" w:hAnsiTheme="minorEastAsia" w:eastAsiaTheme="minorEastAsia"/>
                <w:sz w:val="18"/>
                <w:szCs w:val="18"/>
              </w:rPr>
            </w:pPr>
          </w:p>
        </w:tc>
        <w:tc>
          <w:tcPr>
            <w:tcW w:w="1276" w:type="dxa"/>
            <w:vMerge w:val="continue"/>
            <w:vAlign w:val="center"/>
          </w:tcPr>
          <w:p>
            <w:pPr>
              <w:widowControl w:val="0"/>
              <w:spacing w:after="0" w:line="360" w:lineRule="exact"/>
              <w:jc w:val="center"/>
              <w:rPr>
                <w:rFonts w:asciiTheme="minorEastAsia" w:hAnsiTheme="minorEastAsia" w:eastAsiaTheme="minorEastAsia"/>
                <w:sz w:val="18"/>
                <w:szCs w:val="18"/>
              </w:rPr>
            </w:pPr>
          </w:p>
        </w:tc>
        <w:tc>
          <w:tcPr>
            <w:tcW w:w="4536" w:type="dxa"/>
            <w:vAlign w:val="center"/>
          </w:tcPr>
          <w:p>
            <w:pPr>
              <w:widowControl w:val="0"/>
              <w:spacing w:after="0" w:line="360" w:lineRule="exact"/>
              <w:jc w:val="left"/>
              <w:rPr>
                <w:rFonts w:asciiTheme="minorEastAsia" w:hAnsiTheme="minorEastAsia" w:eastAsiaTheme="minorEastAsia"/>
                <w:bCs/>
                <w:sz w:val="18"/>
                <w:szCs w:val="18"/>
              </w:rPr>
            </w:pPr>
            <w:r>
              <w:rPr>
                <w:rFonts w:hint="eastAsia" w:asciiTheme="minorEastAsia" w:hAnsiTheme="minorEastAsia" w:eastAsiaTheme="minorEastAsia"/>
                <w:bCs/>
                <w:sz w:val="18"/>
                <w:szCs w:val="18"/>
              </w:rPr>
              <w:t>组织发动本辖区企业、社会组织及个人参与东西部扶贫协作，加大“中国社会扶贫网”推广、注册、对接力度。完成新增注册或对接目标任务的100%、90%、80%，分别得6分、4分、2分，完成率80%以下不得分；认真开展或配合做好全国扶贫日、脱贫攻坚宣传周等系列活动，得4分。</w:t>
            </w:r>
          </w:p>
        </w:tc>
        <w:tc>
          <w:tcPr>
            <w:tcW w:w="1985"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市对口支援办</w:t>
            </w:r>
          </w:p>
        </w:tc>
        <w:tc>
          <w:tcPr>
            <w:tcW w:w="1417"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镇农办</w:t>
            </w:r>
          </w:p>
        </w:tc>
        <w:tc>
          <w:tcPr>
            <w:tcW w:w="2268"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各村</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相关办（中心）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817" w:type="dxa"/>
            <w:vAlign w:val="center"/>
          </w:tcPr>
          <w:p>
            <w:pPr>
              <w:widowControl w:val="0"/>
              <w:spacing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6</w:t>
            </w:r>
          </w:p>
        </w:tc>
        <w:tc>
          <w:tcPr>
            <w:tcW w:w="1276" w:type="dxa"/>
            <w:vAlign w:val="center"/>
          </w:tcPr>
          <w:p>
            <w:pPr>
              <w:widowControl w:val="0"/>
              <w:spacing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工作上报</w:t>
            </w:r>
          </w:p>
          <w:p>
            <w:pPr>
              <w:widowControl w:val="0"/>
              <w:spacing w:line="360" w:lineRule="exact"/>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（10分）</w:t>
            </w:r>
          </w:p>
        </w:tc>
        <w:tc>
          <w:tcPr>
            <w:tcW w:w="4536" w:type="dxa"/>
            <w:vAlign w:val="center"/>
          </w:tcPr>
          <w:p>
            <w:pPr>
              <w:widowControl w:val="0"/>
              <w:spacing w:after="0" w:line="360" w:lineRule="exact"/>
              <w:jc w:val="left"/>
              <w:rPr>
                <w:rFonts w:asciiTheme="minorEastAsia" w:hAnsiTheme="minorEastAsia" w:eastAsiaTheme="minorEastAsia"/>
                <w:bCs/>
                <w:sz w:val="18"/>
                <w:szCs w:val="18"/>
              </w:rPr>
            </w:pPr>
            <w:r>
              <w:rPr>
                <w:rFonts w:hint="eastAsia" w:asciiTheme="minorEastAsia" w:hAnsiTheme="minorEastAsia" w:eastAsiaTheme="minorEastAsia"/>
                <w:bCs/>
                <w:sz w:val="18"/>
                <w:szCs w:val="18"/>
              </w:rPr>
              <w:t>积极配合市对口支援办工作，按时报送工作材料，全面梳理总结结对帮扶工作成果、创新经验、特色亮点及典型人物或事迹，及时向市对口支援办报送信息。年底按要求上报工作总结及规范的工作资料。未达要求酌情扣分。</w:t>
            </w:r>
          </w:p>
        </w:tc>
        <w:tc>
          <w:tcPr>
            <w:tcW w:w="1985"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市对口支援办</w:t>
            </w:r>
          </w:p>
        </w:tc>
        <w:tc>
          <w:tcPr>
            <w:tcW w:w="1417"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镇农办</w:t>
            </w:r>
          </w:p>
        </w:tc>
        <w:tc>
          <w:tcPr>
            <w:tcW w:w="2268" w:type="dxa"/>
            <w:vAlign w:val="center"/>
          </w:tcPr>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各村</w:t>
            </w:r>
          </w:p>
          <w:p>
            <w:pPr>
              <w:widowControl w:val="0"/>
              <w:spacing w:after="0" w:line="36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相关办（中心）</w:t>
            </w:r>
          </w:p>
        </w:tc>
      </w:tr>
    </w:tbl>
    <w:p>
      <w:pPr>
        <w:pStyle w:val="10"/>
        <w:spacing w:before="0" w:beforeAutospacing="0" w:after="0" w:afterAutospacing="0" w:line="560" w:lineRule="exact"/>
        <w:ind w:left="0" w:leftChars="0" w:firstLine="240" w:firstLineChars="100"/>
        <w:rPr>
          <w:rFonts w:hint="default" w:asciiTheme="minorEastAsia" w:hAnsiTheme="minorEastAsia" w:eastAsiaTheme="minorEastAsia" w:cstheme="minorBidi"/>
          <w:bCs/>
          <w:kern w:val="0"/>
          <w:sz w:val="24"/>
          <w:szCs w:val="24"/>
        </w:rPr>
      </w:pPr>
    </w:p>
    <w:p>
      <w:pPr>
        <w:rPr>
          <w:sz w:val="24"/>
          <w:szCs w:val="28"/>
        </w:rPr>
      </w:pPr>
      <w:bookmarkStart w:id="0" w:name="_GoBack"/>
      <w:bookmarkEnd w:id="0"/>
    </w:p>
    <w:sectPr>
      <w:pgSz w:w="16838" w:h="11906" w:orient="landscape"/>
      <w:pgMar w:top="1440" w:right="1077" w:bottom="1134" w:left="1077"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6653583"/>
    <w:rsid w:val="00003298"/>
    <w:rsid w:val="00014A4E"/>
    <w:rsid w:val="0003464B"/>
    <w:rsid w:val="00076E4A"/>
    <w:rsid w:val="000902F0"/>
    <w:rsid w:val="000E7F2F"/>
    <w:rsid w:val="001216A9"/>
    <w:rsid w:val="00121ED9"/>
    <w:rsid w:val="00140637"/>
    <w:rsid w:val="00144094"/>
    <w:rsid w:val="001958DA"/>
    <w:rsid w:val="001A6B60"/>
    <w:rsid w:val="001E6CA7"/>
    <w:rsid w:val="001E7992"/>
    <w:rsid w:val="00227A0D"/>
    <w:rsid w:val="00235029"/>
    <w:rsid w:val="00276D13"/>
    <w:rsid w:val="00295073"/>
    <w:rsid w:val="002A38C0"/>
    <w:rsid w:val="002B2CC7"/>
    <w:rsid w:val="00326D79"/>
    <w:rsid w:val="003532A1"/>
    <w:rsid w:val="00360378"/>
    <w:rsid w:val="00377933"/>
    <w:rsid w:val="003B5A8B"/>
    <w:rsid w:val="003C5FA2"/>
    <w:rsid w:val="003E38A3"/>
    <w:rsid w:val="00404423"/>
    <w:rsid w:val="00431705"/>
    <w:rsid w:val="00440854"/>
    <w:rsid w:val="00471D1E"/>
    <w:rsid w:val="004E402F"/>
    <w:rsid w:val="005169A1"/>
    <w:rsid w:val="00566C7E"/>
    <w:rsid w:val="0057148E"/>
    <w:rsid w:val="005A7E54"/>
    <w:rsid w:val="005B2581"/>
    <w:rsid w:val="005C3530"/>
    <w:rsid w:val="005F02BF"/>
    <w:rsid w:val="006024DB"/>
    <w:rsid w:val="00653DA2"/>
    <w:rsid w:val="0067521A"/>
    <w:rsid w:val="006A27B7"/>
    <w:rsid w:val="006A2CC6"/>
    <w:rsid w:val="00705A82"/>
    <w:rsid w:val="007374C4"/>
    <w:rsid w:val="007808CD"/>
    <w:rsid w:val="007B2059"/>
    <w:rsid w:val="007D7B32"/>
    <w:rsid w:val="008150A8"/>
    <w:rsid w:val="00815699"/>
    <w:rsid w:val="0082692D"/>
    <w:rsid w:val="00864F98"/>
    <w:rsid w:val="00870E98"/>
    <w:rsid w:val="008A7F07"/>
    <w:rsid w:val="008E5B96"/>
    <w:rsid w:val="0091265F"/>
    <w:rsid w:val="0099385D"/>
    <w:rsid w:val="009A55B9"/>
    <w:rsid w:val="00A15C09"/>
    <w:rsid w:val="00A41504"/>
    <w:rsid w:val="00A630E7"/>
    <w:rsid w:val="00A75981"/>
    <w:rsid w:val="00A81000"/>
    <w:rsid w:val="00A95C9A"/>
    <w:rsid w:val="00AB7447"/>
    <w:rsid w:val="00AE5D84"/>
    <w:rsid w:val="00AF2B98"/>
    <w:rsid w:val="00B723A1"/>
    <w:rsid w:val="00BA2CA4"/>
    <w:rsid w:val="00BF6DF7"/>
    <w:rsid w:val="00C36045"/>
    <w:rsid w:val="00C561BA"/>
    <w:rsid w:val="00C73CD7"/>
    <w:rsid w:val="00C77C3A"/>
    <w:rsid w:val="00C95088"/>
    <w:rsid w:val="00C976DB"/>
    <w:rsid w:val="00CA4BC0"/>
    <w:rsid w:val="00D20CB0"/>
    <w:rsid w:val="00D34466"/>
    <w:rsid w:val="00D64D17"/>
    <w:rsid w:val="00DA017D"/>
    <w:rsid w:val="00DC5459"/>
    <w:rsid w:val="00DF6253"/>
    <w:rsid w:val="00DF68F2"/>
    <w:rsid w:val="00E127B5"/>
    <w:rsid w:val="00E927A1"/>
    <w:rsid w:val="00EA27B9"/>
    <w:rsid w:val="00EA464C"/>
    <w:rsid w:val="00EA7436"/>
    <w:rsid w:val="00EB6191"/>
    <w:rsid w:val="00EF230B"/>
    <w:rsid w:val="00EF5EEE"/>
    <w:rsid w:val="00F0619A"/>
    <w:rsid w:val="00F20952"/>
    <w:rsid w:val="00F23BC8"/>
    <w:rsid w:val="00F23F53"/>
    <w:rsid w:val="00F30C3B"/>
    <w:rsid w:val="00F43B63"/>
    <w:rsid w:val="00F70AE4"/>
    <w:rsid w:val="00F71834"/>
    <w:rsid w:val="00F81A47"/>
    <w:rsid w:val="00FB58DE"/>
    <w:rsid w:val="00FD1F0D"/>
    <w:rsid w:val="00FE314C"/>
    <w:rsid w:val="137573AA"/>
    <w:rsid w:val="16F2048E"/>
    <w:rsid w:val="222C5934"/>
    <w:rsid w:val="232D0FBB"/>
    <w:rsid w:val="2A584C76"/>
    <w:rsid w:val="306E09BD"/>
    <w:rsid w:val="36653583"/>
    <w:rsid w:val="368318B4"/>
    <w:rsid w:val="441A20BA"/>
    <w:rsid w:val="524811AB"/>
    <w:rsid w:val="5EB80CC4"/>
    <w:rsid w:val="5EF57FA8"/>
    <w:rsid w:val="69A62B50"/>
    <w:rsid w:val="6D4B57A6"/>
    <w:rsid w:val="6DD30B1D"/>
    <w:rsid w:val="777F271D"/>
    <w:rsid w:val="77F44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 w:type="paragraph" w:styleId="9">
    <w:name w:val="List Paragraph"/>
    <w:basedOn w:val="1"/>
    <w:unhideWhenUsed/>
    <w:qFormat/>
    <w:uiPriority w:val="99"/>
    <w:pPr>
      <w:ind w:firstLine="420" w:firstLineChars="200"/>
    </w:pPr>
  </w:style>
  <w:style w:type="paragraph" w:customStyle="1" w:styleId="10">
    <w:name w:val="引文目录1"/>
    <w:basedOn w:val="1"/>
    <w:next w:val="1"/>
    <w:qFormat/>
    <w:uiPriority w:val="0"/>
    <w:pPr>
      <w:widowControl w:val="0"/>
      <w:adjustRightInd/>
      <w:snapToGrid/>
      <w:spacing w:before="100" w:beforeAutospacing="1" w:after="100" w:afterAutospacing="1"/>
      <w:ind w:left="420" w:leftChars="200"/>
      <w:jc w:val="both"/>
    </w:pPr>
    <w:rPr>
      <w:rFonts w:hint="eastAsia" w:ascii="Calibri" w:hAnsi="Calibri" w:eastAsia="宋体" w:cs="黑体"/>
      <w:kern w:val="2"/>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199</Words>
  <Characters>1136</Characters>
  <Lines>9</Lines>
  <Paragraphs>2</Paragraphs>
  <TotalTime>0</TotalTime>
  <ScaleCrop>false</ScaleCrop>
  <LinksUpToDate>false</LinksUpToDate>
  <CharactersWithSpaces>1333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2020-02-09T01:24:00Z</dcterms:created>
  <dc:creator>集K隽e</dc:creator>
  <cp:lastModifiedBy>蘑菇头上开出一朵花</cp:lastModifiedBy>
  <cp:lastPrinted>2020-02-09T03:41:00Z</cp:lastPrinted>
  <dcterms:modified xsi:type="dcterms:W3CDTF">2020-09-07T08:17:43Z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