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val="en-US" w:eastAsia="zh-CN"/>
        </w:rPr>
        <w:t xml:space="preserve"> </w:t>
      </w:r>
      <w:r>
        <w:rPr>
          <w:rFonts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年慈溪市</w:t>
      </w:r>
      <w:r>
        <w:rPr>
          <w:rFonts w:hint="eastAsia" w:ascii="方正小标宋简体" w:hAnsi="方正小标宋简体" w:eastAsia="方正小标宋简体" w:cs="方正小标宋简体"/>
          <w:sz w:val="36"/>
          <w:szCs w:val="36"/>
          <w:lang w:eastAsia="zh-CN"/>
        </w:rPr>
        <w:t>新市民服务中心</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信息公开工作年度报告</w:t>
      </w:r>
    </w:p>
    <w:p>
      <w:pPr>
        <w:spacing w:line="560" w:lineRule="exact"/>
        <w:ind w:firstLine="640" w:firstLineChars="200"/>
        <w:rPr>
          <w:rFonts w:ascii="??_GB2312" w:hAnsi="??_GB2312" w:eastAsia="Times New Roman" w:cs="??_GB2312"/>
          <w:sz w:val="32"/>
          <w:szCs w:val="32"/>
        </w:rPr>
      </w:pPr>
    </w:p>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一、总体情况</w:t>
      </w:r>
    </w:p>
    <w:p>
      <w:pPr>
        <w:spacing w:line="560" w:lineRule="exact"/>
        <w:ind w:firstLine="640" w:firstLineChars="200"/>
        <w:jc w:val="both"/>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本年度报告严格按照《中华人民共和国政府信息公开条例》（国务院492号令）（以下简称《条例》）的规定以及上级有关信息公开文件精神抓好落实，结合市新市民服务中心政府信息公开工作情况，特向社会公布202</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年慈溪市新市民服务中心政府信息公开工作年度报告。年度报告统计时间段为202</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年1月1日至12月31日。本年报的电子版可在“慈溪市人民政府”政府门户网（http://www.cixi.gov.cn）中政府部门（单位）政府信息公开专栏下载。</w:t>
      </w:r>
    </w:p>
    <w:p>
      <w:pPr>
        <w:spacing w:line="560" w:lineRule="exact"/>
        <w:ind w:firstLine="640" w:firstLineChars="200"/>
        <w:jc w:val="left"/>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（一）主动公开情况</w:t>
      </w:r>
    </w:p>
    <w:p>
      <w:pPr>
        <w:spacing w:line="560" w:lineRule="exact"/>
        <w:ind w:firstLine="640" w:firstLineChars="200"/>
        <w:jc w:val="both"/>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lang w:val="en-US" w:eastAsia="zh-CN"/>
        </w:rPr>
        <w:t>2023年</w:t>
      </w:r>
      <w:r>
        <w:rPr>
          <w:rFonts w:hint="eastAsia" w:ascii="仿宋_GB2312" w:hAnsi="宋体" w:eastAsia="仿宋_GB2312" w:cs="宋体"/>
          <w:color w:val="auto"/>
          <w:sz w:val="32"/>
          <w:szCs w:val="32"/>
        </w:rPr>
        <w:t>，本单位通过市政府信息公开系统累计主动公开政府信息</w:t>
      </w:r>
      <w:r>
        <w:rPr>
          <w:rFonts w:hint="eastAsia" w:ascii="仿宋_GB2312" w:hAnsi="宋体" w:eastAsia="仿宋_GB2312" w:cs="宋体"/>
          <w:color w:val="auto"/>
          <w:sz w:val="32"/>
          <w:szCs w:val="32"/>
          <w:lang w:val="en-US" w:eastAsia="zh-CN"/>
        </w:rPr>
        <w:t>11</w:t>
      </w:r>
      <w:r>
        <w:rPr>
          <w:rFonts w:hint="eastAsia" w:ascii="仿宋_GB2312" w:hAnsi="宋体" w:eastAsia="仿宋_GB2312" w:cs="宋体"/>
          <w:color w:val="auto"/>
          <w:sz w:val="32"/>
          <w:szCs w:val="32"/>
        </w:rPr>
        <w:t>条。其中</w:t>
      </w:r>
      <w:r>
        <w:rPr>
          <w:rFonts w:hint="eastAsia" w:ascii="仿宋_GB2312" w:hAnsi="宋体" w:eastAsia="仿宋_GB2312" w:cs="宋体"/>
          <w:color w:val="auto"/>
          <w:sz w:val="32"/>
          <w:szCs w:val="32"/>
          <w:lang w:eastAsia="zh-CN"/>
        </w:rPr>
        <w:t>其他</w:t>
      </w:r>
      <w:r>
        <w:rPr>
          <w:rFonts w:hint="eastAsia" w:ascii="仿宋_GB2312" w:hAnsi="宋体" w:eastAsia="仿宋_GB2312" w:cs="宋体"/>
          <w:color w:val="auto"/>
          <w:sz w:val="32"/>
          <w:szCs w:val="32"/>
        </w:rPr>
        <w:t>文件</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条，</w:t>
      </w:r>
      <w:r>
        <w:rPr>
          <w:rFonts w:hint="eastAsia" w:ascii="仿宋_GB2312" w:hAnsi="宋体" w:eastAsia="仿宋_GB2312" w:cs="宋体"/>
          <w:color w:val="auto"/>
          <w:sz w:val="32"/>
          <w:szCs w:val="32"/>
          <w:lang w:eastAsia="zh-CN"/>
        </w:rPr>
        <w:t>内设机构</w:t>
      </w:r>
      <w:r>
        <w:rPr>
          <w:rFonts w:hint="eastAsia" w:ascii="仿宋_GB2312" w:hAnsi="宋体" w:eastAsia="仿宋_GB2312" w:cs="宋体"/>
          <w:color w:val="auto"/>
          <w:sz w:val="32"/>
          <w:szCs w:val="32"/>
          <w:lang w:val="en-US" w:eastAsia="zh-CN"/>
        </w:rPr>
        <w:t>2条，</w:t>
      </w:r>
      <w:r>
        <w:rPr>
          <w:rFonts w:hint="eastAsia" w:ascii="仿宋_GB2312" w:hAnsi="宋体" w:eastAsia="仿宋_GB2312" w:cs="宋体"/>
          <w:color w:val="auto"/>
          <w:sz w:val="32"/>
          <w:szCs w:val="32"/>
        </w:rPr>
        <w:t>计划总结1</w:t>
      </w:r>
      <w:r>
        <w:rPr>
          <w:rFonts w:hint="eastAsia" w:ascii="仿宋_GB2312" w:hAnsi="宋体" w:eastAsia="仿宋_GB2312" w:cs="宋体"/>
          <w:color w:val="auto"/>
          <w:sz w:val="32"/>
          <w:szCs w:val="32"/>
          <w:lang w:eastAsia="zh-CN"/>
        </w:rPr>
        <w:t>条，</w:t>
      </w:r>
      <w:r>
        <w:rPr>
          <w:rFonts w:hint="eastAsia" w:ascii="仿宋_GB2312" w:hAnsi="宋体" w:eastAsia="仿宋_GB2312" w:cs="宋体"/>
          <w:color w:val="auto"/>
          <w:sz w:val="32"/>
          <w:szCs w:val="32"/>
        </w:rPr>
        <w:t>财政预决算</w:t>
      </w:r>
      <w:r>
        <w:rPr>
          <w:rFonts w:hint="eastAsia" w:ascii="仿宋_GB2312" w:hAnsi="宋体" w:eastAsia="仿宋_GB2312" w:cs="宋体"/>
          <w:color w:val="auto"/>
          <w:sz w:val="32"/>
          <w:szCs w:val="32"/>
          <w:lang w:val="en-US" w:eastAsia="zh-CN"/>
        </w:rPr>
        <w:t>1</w:t>
      </w:r>
      <w:r>
        <w:rPr>
          <w:rFonts w:hint="eastAsia" w:ascii="仿宋_GB2312" w:hAnsi="宋体" w:eastAsia="仿宋_GB2312" w:cs="宋体"/>
          <w:color w:val="auto"/>
          <w:sz w:val="32"/>
          <w:szCs w:val="32"/>
        </w:rPr>
        <w:t>条，人大代表建议</w:t>
      </w:r>
      <w:r>
        <w:rPr>
          <w:rFonts w:hint="eastAsia" w:ascii="仿宋_GB2312" w:hAnsi="宋体" w:eastAsia="仿宋_GB2312" w:cs="宋体"/>
          <w:color w:val="auto"/>
          <w:sz w:val="32"/>
          <w:szCs w:val="32"/>
          <w:lang w:val="en-US" w:eastAsia="zh-CN"/>
        </w:rPr>
        <w:t>2</w:t>
      </w:r>
      <w:r>
        <w:rPr>
          <w:rFonts w:hint="eastAsia" w:ascii="仿宋_GB2312" w:hAnsi="宋体" w:eastAsia="仿宋_GB2312" w:cs="宋体"/>
          <w:color w:val="auto"/>
          <w:sz w:val="32"/>
          <w:szCs w:val="32"/>
        </w:rPr>
        <w:t>条，政协委员提案</w:t>
      </w:r>
      <w:r>
        <w:rPr>
          <w:rFonts w:hint="eastAsia" w:ascii="仿宋_GB2312" w:hAnsi="宋体" w:eastAsia="仿宋_GB2312" w:cs="宋体"/>
          <w:color w:val="auto"/>
          <w:sz w:val="32"/>
          <w:szCs w:val="32"/>
          <w:lang w:val="en-US" w:eastAsia="zh-CN"/>
        </w:rPr>
        <w:t>1</w:t>
      </w:r>
      <w:r>
        <w:rPr>
          <w:rFonts w:hint="eastAsia" w:ascii="仿宋_GB2312" w:hAnsi="宋体" w:eastAsia="仿宋_GB2312" w:cs="宋体"/>
          <w:color w:val="auto"/>
          <w:sz w:val="32"/>
          <w:szCs w:val="32"/>
        </w:rPr>
        <w:t>条，政府信息公开工作年报1条。借助微信公众号平台“我在慈溪”，累计发布新市民相关信息</w:t>
      </w:r>
      <w:r>
        <w:rPr>
          <w:rFonts w:hint="eastAsia" w:ascii="仿宋_GB2312" w:hAnsi="宋体" w:eastAsia="仿宋_GB2312" w:cs="宋体"/>
          <w:color w:val="auto"/>
          <w:sz w:val="32"/>
          <w:szCs w:val="32"/>
          <w:lang w:val="en-US" w:eastAsia="zh-CN"/>
        </w:rPr>
        <w:t>152</w:t>
      </w:r>
      <w:r>
        <w:rPr>
          <w:rFonts w:hint="eastAsia" w:ascii="仿宋_GB2312" w:hAnsi="宋体" w:eastAsia="仿宋_GB2312" w:cs="宋体"/>
          <w:color w:val="auto"/>
          <w:sz w:val="32"/>
          <w:szCs w:val="32"/>
        </w:rPr>
        <w:t>条。</w:t>
      </w:r>
    </w:p>
    <w:p>
      <w:pPr>
        <w:spacing w:line="560" w:lineRule="exact"/>
        <w:ind w:firstLine="640" w:firstLineChars="200"/>
        <w:jc w:val="left"/>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（二）依申请公开情况</w:t>
      </w:r>
    </w:p>
    <w:p>
      <w:pPr>
        <w:spacing w:line="560" w:lineRule="exact"/>
        <w:ind w:firstLine="640" w:firstLineChars="200"/>
        <w:jc w:val="both"/>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完善依申请公开相关程序，切实保障申请人及相关各方的合法权益，对事实清楚的政府信息申请，依法按时答复</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rPr>
        <w:t>202</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年度，收到依申请公开</w:t>
      </w:r>
      <w:r>
        <w:rPr>
          <w:rFonts w:hint="eastAsia" w:ascii="仿宋_GB2312" w:hAnsi="宋体" w:eastAsia="仿宋_GB2312" w:cs="宋体"/>
          <w:color w:val="auto"/>
          <w:sz w:val="32"/>
          <w:szCs w:val="32"/>
          <w:lang w:val="en-US" w:eastAsia="zh-CN"/>
        </w:rPr>
        <w:t xml:space="preserve"> 0</w:t>
      </w:r>
      <w:r>
        <w:rPr>
          <w:rFonts w:hint="eastAsia" w:ascii="仿宋_GB2312" w:hAnsi="宋体" w:eastAsia="仿宋_GB2312" w:cs="宋体"/>
          <w:color w:val="auto"/>
          <w:sz w:val="32"/>
          <w:szCs w:val="32"/>
        </w:rPr>
        <w:t>件</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rPr>
        <w:t>予以公开</w:t>
      </w:r>
      <w:r>
        <w:rPr>
          <w:rFonts w:hint="eastAsia" w:ascii="仿宋_GB2312" w:hAnsi="宋体" w:eastAsia="仿宋_GB2312" w:cs="宋体"/>
          <w:color w:val="auto"/>
          <w:sz w:val="32"/>
          <w:szCs w:val="32"/>
          <w:lang w:val="en-US" w:eastAsia="zh-CN"/>
        </w:rPr>
        <w:t xml:space="preserve"> 0</w:t>
      </w:r>
      <w:r>
        <w:rPr>
          <w:rFonts w:hint="eastAsia" w:ascii="仿宋_GB2312" w:hAnsi="宋体" w:eastAsia="仿宋_GB2312" w:cs="宋体"/>
          <w:color w:val="auto"/>
          <w:sz w:val="32"/>
          <w:szCs w:val="32"/>
        </w:rPr>
        <w:t>件。</w:t>
      </w:r>
    </w:p>
    <w:p>
      <w:pPr>
        <w:spacing w:line="560" w:lineRule="exact"/>
        <w:ind w:firstLine="640" w:firstLineChars="200"/>
        <w:jc w:val="left"/>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（三）政府信息管理情况</w:t>
      </w:r>
    </w:p>
    <w:p>
      <w:pPr>
        <w:spacing w:line="560" w:lineRule="exact"/>
        <w:ind w:firstLine="640" w:firstLineChars="200"/>
        <w:jc w:val="both"/>
        <w:rPr>
          <w:rFonts w:hint="eastAsia" w:ascii="仿宋_GB2312" w:hAnsi="宋体" w:eastAsia="仿宋_GB2312" w:cs="宋体"/>
          <w:color w:val="7F7F7F" w:themeColor="background1" w:themeShade="80"/>
          <w:sz w:val="32"/>
          <w:szCs w:val="32"/>
          <w:highlight w:val="none"/>
          <w:lang w:eastAsia="zh-CN"/>
        </w:rPr>
      </w:pPr>
      <w:r>
        <w:rPr>
          <w:rFonts w:hint="eastAsia" w:ascii="仿宋_GB2312" w:hAnsi="宋体" w:eastAsia="仿宋_GB2312" w:cs="宋体"/>
          <w:color w:val="000000" w:themeColor="text1"/>
          <w:sz w:val="32"/>
          <w:szCs w:val="32"/>
          <w:highlight w:val="none"/>
          <w:lang w:eastAsia="zh-CN"/>
          <w14:textFill>
            <w14:solidFill>
              <w14:schemeClr w14:val="tx1"/>
            </w14:solidFill>
          </w14:textFill>
        </w:rPr>
        <w:t>本单位高度重视政府信息公开工作，明确了政务公开工作分管领导和责任科室，认真落实政府信息公开各项工作制度，确保信息的制作、审核、发布符合规定，保障工作有序开展。</w:t>
      </w:r>
      <w:r>
        <w:rPr>
          <w:rFonts w:hint="eastAsia" w:ascii="仿宋_GB2312" w:hAnsi="宋体" w:eastAsia="仿宋_GB2312" w:cs="宋体"/>
          <w:color w:val="auto"/>
          <w:sz w:val="32"/>
          <w:szCs w:val="32"/>
          <w:highlight w:val="none"/>
          <w:lang w:eastAsia="zh-CN"/>
        </w:rPr>
        <w:t>积极选派人员参加政府信息公开培训，提升信息公开水平。</w:t>
      </w:r>
    </w:p>
    <w:p>
      <w:pPr>
        <w:spacing w:line="560" w:lineRule="exact"/>
        <w:ind w:firstLine="640" w:firstLineChars="200"/>
        <w:jc w:val="left"/>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（四）平台建设情况</w:t>
      </w:r>
    </w:p>
    <w:p>
      <w:pPr>
        <w:spacing w:line="560" w:lineRule="exact"/>
        <w:ind w:firstLine="640" w:firstLineChars="200"/>
        <w:jc w:val="both"/>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rPr>
        <w:t>本单位通过市政府</w:t>
      </w:r>
      <w:r>
        <w:rPr>
          <w:rFonts w:hint="eastAsia" w:ascii="仿宋_GB2312" w:hAnsi="宋体" w:eastAsia="仿宋_GB2312" w:cs="宋体"/>
          <w:color w:val="auto"/>
          <w:sz w:val="32"/>
          <w:szCs w:val="32"/>
          <w:lang w:eastAsia="zh-CN"/>
        </w:rPr>
        <w:t>公开网址，</w:t>
      </w:r>
      <w:r>
        <w:rPr>
          <w:rFonts w:hint="eastAsia" w:ascii="仿宋_GB2312" w:hAnsi="宋体" w:eastAsia="仿宋_GB2312" w:cs="宋体"/>
          <w:color w:val="auto"/>
          <w:sz w:val="32"/>
          <w:szCs w:val="32"/>
        </w:rPr>
        <w:t>主动公开各类信息，提高信息的覆盖面，并接受社会公众监督。</w:t>
      </w:r>
      <w:r>
        <w:rPr>
          <w:rFonts w:hint="eastAsia" w:ascii="仿宋_GB2312" w:hAnsi="宋体" w:eastAsia="仿宋_GB2312" w:cs="宋体"/>
          <w:color w:val="auto"/>
          <w:sz w:val="32"/>
          <w:szCs w:val="32"/>
          <w:lang w:eastAsia="zh-CN"/>
        </w:rPr>
        <w:t>依托</w:t>
      </w:r>
      <w:r>
        <w:rPr>
          <w:rFonts w:hint="eastAsia" w:ascii="仿宋_GB2312" w:hAnsi="宋体" w:eastAsia="仿宋_GB2312" w:cs="宋体"/>
          <w:color w:val="auto"/>
          <w:sz w:val="32"/>
          <w:szCs w:val="32"/>
        </w:rPr>
        <w:t>微信公众号“我在慈溪”，宣传新市民关心关注的政策文件、相关活动、人物典型等文章</w:t>
      </w:r>
      <w:r>
        <w:rPr>
          <w:rFonts w:hint="eastAsia" w:ascii="仿宋_GB2312" w:hAnsi="宋体" w:eastAsia="仿宋_GB2312" w:cs="宋体"/>
          <w:color w:val="auto"/>
          <w:sz w:val="32"/>
          <w:szCs w:val="32"/>
          <w:lang w:val="en-US" w:eastAsia="zh-CN"/>
        </w:rPr>
        <w:t>152</w:t>
      </w:r>
      <w:r>
        <w:rPr>
          <w:rFonts w:hint="eastAsia" w:ascii="仿宋_GB2312" w:hAnsi="宋体" w:eastAsia="仿宋_GB2312" w:cs="宋体"/>
          <w:color w:val="auto"/>
          <w:sz w:val="32"/>
          <w:szCs w:val="32"/>
        </w:rPr>
        <w:t>篇，设置专栏14个，目前关注人数达11.1万余人</w:t>
      </w:r>
      <w:r>
        <w:rPr>
          <w:rFonts w:hint="eastAsia" w:ascii="仿宋_GB2312" w:hAnsi="宋体" w:eastAsia="仿宋_GB2312" w:cs="宋体"/>
          <w:color w:val="auto"/>
          <w:sz w:val="32"/>
          <w:szCs w:val="32"/>
          <w:lang w:eastAsia="zh-CN"/>
        </w:rPr>
        <w:t>。</w:t>
      </w:r>
    </w:p>
    <w:p>
      <w:pPr>
        <w:spacing w:line="560" w:lineRule="exact"/>
        <w:ind w:firstLine="640" w:firstLineChars="200"/>
        <w:jc w:val="left"/>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（五）监督保障情况</w:t>
      </w:r>
    </w:p>
    <w:p>
      <w:pPr>
        <w:spacing w:line="560" w:lineRule="exact"/>
        <w:ind w:firstLine="640" w:firstLineChars="200"/>
        <w:jc w:val="both"/>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我单位</w:t>
      </w:r>
      <w:r>
        <w:rPr>
          <w:rFonts w:hint="eastAsia" w:ascii="仿宋_GB2312" w:hAnsi="宋体" w:eastAsia="仿宋_GB2312" w:cs="宋体"/>
          <w:color w:val="auto"/>
          <w:sz w:val="32"/>
          <w:szCs w:val="32"/>
        </w:rPr>
        <w:t>高度重视政务公开工作，明确领导责任制和信息公开工作机制</w:t>
      </w:r>
      <w:r>
        <w:rPr>
          <w:rFonts w:hint="eastAsia" w:ascii="仿宋_GB2312" w:hAnsi="宋体" w:eastAsia="仿宋_GB2312" w:cs="宋体"/>
          <w:color w:val="auto"/>
          <w:sz w:val="32"/>
          <w:szCs w:val="32"/>
          <w:lang w:eastAsia="zh-CN"/>
        </w:rPr>
        <w:t>，规范审查程序，认真做好第三方测评问题整改工作。积极</w:t>
      </w:r>
      <w:r>
        <w:rPr>
          <w:rFonts w:hint="eastAsia" w:ascii="仿宋_GB2312" w:hAnsi="宋体" w:eastAsia="仿宋_GB2312" w:cs="宋体"/>
          <w:color w:val="auto"/>
          <w:sz w:val="32"/>
          <w:szCs w:val="32"/>
        </w:rPr>
        <w:t>参加全市统一的政务公开社会评议</w:t>
      </w:r>
      <w:r>
        <w:rPr>
          <w:rFonts w:hint="eastAsia" w:ascii="仿宋_GB2312" w:hAnsi="宋体" w:eastAsia="仿宋_GB2312" w:cs="宋体"/>
          <w:color w:val="auto"/>
          <w:sz w:val="32"/>
          <w:szCs w:val="32"/>
          <w:lang w:eastAsia="zh-CN"/>
        </w:rPr>
        <w:t>并</w:t>
      </w:r>
      <w:r>
        <w:rPr>
          <w:rFonts w:hint="eastAsia" w:ascii="仿宋_GB2312" w:hAnsi="宋体" w:eastAsia="仿宋_GB2312" w:cs="宋体"/>
          <w:color w:val="auto"/>
          <w:sz w:val="32"/>
          <w:szCs w:val="32"/>
        </w:rPr>
        <w:t>定期按规定发布责任追究情况</w:t>
      </w:r>
      <w:r>
        <w:rPr>
          <w:rFonts w:hint="eastAsia" w:ascii="仿宋_GB2312" w:hAnsi="宋体" w:eastAsia="仿宋_GB2312" w:cs="宋体"/>
          <w:color w:val="auto"/>
          <w:sz w:val="32"/>
          <w:szCs w:val="32"/>
          <w:lang w:eastAsia="zh-CN"/>
        </w:rPr>
        <w:t>。</w:t>
      </w:r>
    </w:p>
    <w:p>
      <w:pPr>
        <w:numPr>
          <w:ilvl w:val="0"/>
          <w:numId w:val="1"/>
        </w:numPr>
        <w:spacing w:line="560" w:lineRule="exact"/>
        <w:ind w:firstLine="643" w:firstLineChars="200"/>
        <w:jc w:val="left"/>
        <w:rPr>
          <w:rFonts w:hint="eastAsia" w:ascii="宋体" w:hAnsi="宋体" w:cs="宋体"/>
          <w:b/>
          <w:bCs/>
          <w:color w:val="auto"/>
          <w:sz w:val="32"/>
          <w:szCs w:val="32"/>
        </w:rPr>
      </w:pPr>
      <w:r>
        <w:rPr>
          <w:rFonts w:hint="eastAsia" w:ascii="宋体" w:hAnsi="宋体" w:cs="宋体"/>
          <w:b/>
          <w:bCs/>
          <w:color w:val="auto"/>
          <w:sz w:val="32"/>
          <w:szCs w:val="32"/>
        </w:rPr>
        <w:t>主动公开政府信息情况</w:t>
      </w:r>
    </w:p>
    <w:tbl>
      <w:tblPr>
        <w:tblStyle w:val="3"/>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cs="宋体"/>
                <w:color w:val="auto"/>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cs="宋体"/>
                <w:color w:val="auto"/>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cs="宋体"/>
                <w:color w:val="auto"/>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highlight w:val="yellow"/>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cs="宋体"/>
                <w:color w:val="auto"/>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cs="宋体"/>
                <w:color w:val="auto"/>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color w:val="auto"/>
                <w:sz w:val="24"/>
                <w:szCs w:val="24"/>
              </w:rPr>
            </w:pPr>
            <w:r>
              <w:rPr>
                <w:rFonts w:hint="eastAsia" w:ascii="宋体" w:hAnsi="宋体" w:cs="宋体"/>
                <w:color w:val="auto"/>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bl>
    <w:p>
      <w:pPr>
        <w:spacing w:line="560" w:lineRule="exact"/>
        <w:ind w:firstLine="643" w:firstLineChars="200"/>
        <w:jc w:val="left"/>
        <w:rPr>
          <w:rFonts w:ascii="??_GB2312" w:hAnsi="??_GB2312" w:eastAsia="Times New Roman" w:cs="??_GB2312"/>
          <w:b/>
          <w:bCs/>
          <w:color w:val="auto"/>
          <w:sz w:val="32"/>
          <w:szCs w:val="32"/>
        </w:rPr>
      </w:pPr>
      <w:r>
        <w:rPr>
          <w:rFonts w:hint="eastAsia" w:ascii="宋体" w:hAnsi="宋体" w:cs="宋体"/>
          <w:b/>
          <w:bCs/>
          <w:color w:val="auto"/>
          <w:sz w:val="32"/>
          <w:szCs w:val="32"/>
        </w:rPr>
        <w:t>三、收到和处理政府信息公开申请情况</w:t>
      </w:r>
    </w:p>
    <w:tbl>
      <w:tblPr>
        <w:tblStyle w:val="3"/>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color w:val="auto"/>
                <w:sz w:val="18"/>
                <w:szCs w:val="18"/>
              </w:rPr>
            </w:pPr>
            <w:r>
              <w:rPr>
                <w:rFonts w:hint="eastAsia" w:ascii="宋体" w:hAnsi="宋体" w:cs="宋体"/>
                <w:color w:val="auto"/>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color w:val="auto"/>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color w:val="auto"/>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color w:val="auto"/>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color w:val="auto"/>
                <w:sz w:val="24"/>
                <w:szCs w:val="24"/>
              </w:rPr>
            </w:pPr>
            <w:r>
              <w:rPr>
                <w:rFonts w:hint="eastAsia" w:ascii="黑体" w:hAnsi="黑体" w:eastAsia="黑体" w:cs="黑体"/>
                <w:color w:val="auto"/>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1.</w:t>
            </w:r>
            <w:r>
              <w:rPr>
                <w:rFonts w:hint="eastAsia" w:ascii="宋体" w:hAnsi="宋体" w:cs="宋体"/>
                <w:color w:val="auto"/>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2.</w:t>
            </w:r>
            <w:r>
              <w:rPr>
                <w:rFonts w:hint="eastAsia" w:ascii="宋体" w:hAnsi="宋体" w:cs="宋体"/>
                <w:color w:val="auto"/>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3.</w:t>
            </w:r>
            <w:r>
              <w:rPr>
                <w:rFonts w:hint="eastAsia" w:ascii="宋体" w:hAnsi="宋体" w:cs="宋体"/>
                <w:color w:val="auto"/>
                <w:sz w:val="24"/>
                <w:szCs w:val="24"/>
              </w:rPr>
              <w:t>危及</w:t>
            </w:r>
            <w:r>
              <w:rPr>
                <w:rFonts w:ascii="??_GB2312" w:hAnsi="??_GB2312" w:eastAsia="Times New Roman" w:cs="??_GB2312"/>
                <w:color w:val="auto"/>
                <w:sz w:val="24"/>
                <w:szCs w:val="24"/>
              </w:rPr>
              <w:t>“</w:t>
            </w:r>
            <w:r>
              <w:rPr>
                <w:rFonts w:hint="eastAsia" w:ascii="宋体" w:hAnsi="宋体" w:cs="宋体"/>
                <w:color w:val="auto"/>
                <w:sz w:val="24"/>
                <w:szCs w:val="24"/>
              </w:rPr>
              <w:t>三安全一稳定</w:t>
            </w:r>
            <w:r>
              <w:rPr>
                <w:rFonts w:ascii="??_GB2312" w:hAnsi="??_GB2312" w:eastAsia="Times New Roman" w:cs="??_GB2312"/>
                <w:color w:val="auto"/>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4.</w:t>
            </w:r>
            <w:r>
              <w:rPr>
                <w:rFonts w:hint="eastAsia" w:ascii="宋体" w:hAnsi="宋体" w:cs="宋体"/>
                <w:color w:val="auto"/>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5.</w:t>
            </w:r>
            <w:r>
              <w:rPr>
                <w:rFonts w:hint="eastAsia" w:ascii="宋体" w:hAnsi="宋体" w:cs="宋体"/>
                <w:color w:val="auto"/>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6.</w:t>
            </w:r>
            <w:r>
              <w:rPr>
                <w:rFonts w:hint="eastAsia" w:ascii="宋体" w:hAnsi="宋体" w:cs="宋体"/>
                <w:color w:val="auto"/>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7.</w:t>
            </w:r>
            <w:r>
              <w:rPr>
                <w:rFonts w:hint="eastAsia" w:ascii="宋体" w:hAnsi="宋体" w:cs="宋体"/>
                <w:color w:val="auto"/>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8.</w:t>
            </w:r>
            <w:r>
              <w:rPr>
                <w:rFonts w:hint="eastAsia" w:ascii="宋体" w:hAnsi="宋体" w:cs="宋体"/>
                <w:color w:val="auto"/>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1.</w:t>
            </w:r>
            <w:r>
              <w:rPr>
                <w:rFonts w:hint="eastAsia" w:ascii="宋体" w:hAnsi="宋体" w:cs="宋体"/>
                <w:color w:val="auto"/>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2.</w:t>
            </w:r>
            <w:r>
              <w:rPr>
                <w:rFonts w:hint="eastAsia" w:ascii="宋体" w:hAnsi="宋体" w:cs="宋体"/>
                <w:color w:val="auto"/>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3.</w:t>
            </w:r>
            <w:r>
              <w:rPr>
                <w:rFonts w:hint="eastAsia" w:ascii="宋体" w:hAnsi="宋体" w:cs="宋体"/>
                <w:color w:val="auto"/>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1.</w:t>
            </w:r>
            <w:r>
              <w:rPr>
                <w:rFonts w:hint="eastAsia" w:ascii="宋体" w:hAnsi="宋体" w:cs="宋体"/>
                <w:color w:val="auto"/>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2.</w:t>
            </w:r>
            <w:r>
              <w:rPr>
                <w:rFonts w:hint="eastAsia" w:ascii="宋体" w:hAnsi="宋体" w:cs="宋体"/>
                <w:color w:val="auto"/>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3.</w:t>
            </w:r>
            <w:r>
              <w:rPr>
                <w:rFonts w:hint="eastAsia" w:ascii="宋体" w:hAnsi="宋体" w:cs="宋体"/>
                <w:color w:val="auto"/>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4.</w:t>
            </w:r>
            <w:r>
              <w:rPr>
                <w:rFonts w:hint="eastAsia" w:ascii="宋体" w:hAnsi="宋体" w:cs="宋体"/>
                <w:color w:val="auto"/>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ascii="??_GB2312" w:hAnsi="??_GB2312" w:eastAsia="Times New Roman" w:cs="??_GB2312"/>
                <w:color w:val="auto"/>
                <w:sz w:val="24"/>
                <w:szCs w:val="24"/>
              </w:rPr>
              <w:t>5.</w:t>
            </w:r>
            <w:r>
              <w:rPr>
                <w:rFonts w:hint="eastAsia" w:ascii="宋体" w:hAnsi="宋体" w:cs="宋体"/>
                <w:color w:val="auto"/>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color w:val="auto"/>
                <w:sz w:val="24"/>
                <w:szCs w:val="24"/>
              </w:rPr>
            </w:pPr>
            <w:r>
              <w:rPr>
                <w:rFonts w:ascii="??_GB2312" w:hAnsi="??_GB2312" w:eastAsia="Times New Roman" w:cs="??_GB2312"/>
                <w:color w:val="auto"/>
                <w:sz w:val="24"/>
                <w:szCs w:val="24"/>
              </w:rPr>
              <w:t>1.</w:t>
            </w:r>
            <w:r>
              <w:rPr>
                <w:rFonts w:hint="eastAsia" w:ascii="宋体" w:hAnsi="宋体" w:cs="宋体"/>
                <w:color w:val="auto"/>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color w:val="auto"/>
                <w:sz w:val="24"/>
                <w:szCs w:val="24"/>
              </w:rPr>
            </w:pPr>
            <w:r>
              <w:rPr>
                <w:rFonts w:ascii="??_GB2312" w:hAnsi="??_GB2312" w:eastAsia="Times New Roman" w:cs="??_GB2312"/>
                <w:color w:val="auto"/>
                <w:sz w:val="24"/>
                <w:szCs w:val="24"/>
              </w:rPr>
              <w:t>2.</w:t>
            </w:r>
            <w:r>
              <w:rPr>
                <w:rFonts w:hint="eastAsia" w:ascii="宋体" w:hAnsi="宋体" w:cs="宋体"/>
                <w:color w:val="auto"/>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color w:val="auto"/>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color w:val="auto"/>
                <w:sz w:val="24"/>
                <w:szCs w:val="24"/>
              </w:rPr>
            </w:pPr>
            <w:r>
              <w:rPr>
                <w:rFonts w:ascii="??_GB2312" w:hAnsi="??_GB2312" w:eastAsia="Times New Roman" w:cs="??_GB2312"/>
                <w:color w:val="auto"/>
                <w:sz w:val="24"/>
                <w:szCs w:val="24"/>
              </w:rPr>
              <w:t>3.</w:t>
            </w:r>
            <w:r>
              <w:rPr>
                <w:rFonts w:hint="eastAsia" w:ascii="宋体" w:hAnsi="宋体" w:cs="宋体"/>
                <w:color w:val="auto"/>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color w:val="auto"/>
                <w:sz w:val="24"/>
                <w:szCs w:val="24"/>
                <w:lang w:val="en-US" w:eastAsia="zh-CN"/>
              </w:rPr>
            </w:pPr>
            <w:r>
              <w:rPr>
                <w:rFonts w:hint="eastAsia" w:ascii="??_GB2312" w:hAnsi="??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olor w:val="auto"/>
                <w:sz w:val="24"/>
                <w:szCs w:val="24"/>
              </w:rPr>
            </w:pPr>
            <w:r>
              <w:rPr>
                <w:rFonts w:hint="eastAsia" w:ascii="宋体" w:hAnsi="宋体" w:cs="宋体"/>
                <w:color w:val="auto"/>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olor w:val="auto"/>
                <w:sz w:val="24"/>
                <w:szCs w:val="24"/>
                <w:lang w:val="en-US" w:eastAsia="zh-CN"/>
              </w:rPr>
            </w:pPr>
            <w:r>
              <w:rPr>
                <w:rFonts w:hint="eastAsia" w:ascii="??_GB2312" w:hAnsi="??_GB2312"/>
                <w:color w:val="auto"/>
                <w:sz w:val="24"/>
                <w:szCs w:val="24"/>
                <w:lang w:val="en-US" w:eastAsia="zh-CN"/>
              </w:rPr>
              <w:t>0</w:t>
            </w:r>
          </w:p>
        </w:tc>
      </w:tr>
    </w:tbl>
    <w:p>
      <w:pPr>
        <w:spacing w:line="560" w:lineRule="exact"/>
        <w:ind w:firstLine="643" w:firstLineChars="200"/>
        <w:rPr>
          <w:rFonts w:ascii="??_GB2312" w:hAnsi="??_GB2312" w:eastAsia="Times New Roman" w:cs="??_GB2312"/>
          <w:b/>
          <w:bCs/>
          <w:color w:val="auto"/>
          <w:sz w:val="32"/>
          <w:szCs w:val="32"/>
        </w:rPr>
      </w:pPr>
      <w:r>
        <w:rPr>
          <w:rFonts w:hint="eastAsia" w:ascii="宋体" w:hAnsi="宋体" w:cs="宋体"/>
          <w:b/>
          <w:bCs/>
          <w:color w:val="auto"/>
          <w:sz w:val="32"/>
          <w:szCs w:val="32"/>
        </w:rPr>
        <w:t>四、政府信息公开行政复议、行政诉讼情况</w:t>
      </w:r>
    </w:p>
    <w:tbl>
      <w:tblPr>
        <w:tblStyle w:val="3"/>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color w:val="auto"/>
                <w:sz w:val="24"/>
                <w:szCs w:val="24"/>
              </w:rPr>
            </w:pPr>
            <w:r>
              <w:rPr>
                <w:rFonts w:hint="eastAsia" w:ascii="黑体" w:hAnsi="黑体" w:eastAsia="黑体" w:cs="黑体"/>
                <w:color w:val="auto"/>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color w:val="auto"/>
                <w:sz w:val="24"/>
                <w:szCs w:val="24"/>
              </w:rPr>
            </w:pPr>
            <w:r>
              <w:rPr>
                <w:rFonts w:hint="eastAsia" w:ascii="黑体" w:hAnsi="黑体" w:eastAsia="黑体" w:cs="黑体"/>
                <w:color w:val="auto"/>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color w:val="auto"/>
                <w:sz w:val="24"/>
                <w:szCs w:val="24"/>
              </w:rPr>
            </w:pPr>
            <w:r>
              <w:rPr>
                <w:rFonts w:hint="eastAsia" w:ascii="宋体" w:hAnsi="宋体" w:cs="宋体"/>
                <w:color w:val="auto"/>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cs="??_GB2312"/>
                <w:color w:val="auto"/>
                <w:sz w:val="32"/>
                <w:szCs w:val="32"/>
                <w:lang w:val="en-US" w:eastAsia="zh-CN"/>
              </w:rPr>
            </w:pPr>
            <w:r>
              <w:rPr>
                <w:rFonts w:hint="eastAsia" w:ascii="??_GB2312" w:hAnsi="??_GB2312"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_GB2312" w:hAnsi="??_GB2312" w:eastAsia="宋体" w:cs="??_GB2312"/>
                <w:color w:val="auto"/>
                <w:sz w:val="32"/>
                <w:szCs w:val="32"/>
                <w:lang w:val="en-US" w:eastAsia="zh-CN"/>
              </w:rPr>
            </w:pPr>
            <w:r>
              <w:rPr>
                <w:rFonts w:hint="eastAsia" w:ascii="??_GB2312" w:hAnsi="??_GB2312"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jc w:val="center"/>
              <w:rPr>
                <w:rFonts w:hint="eastAsia" w:ascii="??_GB2312" w:hAnsi="??_GB2312" w:eastAsia="宋体" w:cs="??_GB2312"/>
                <w:color w:val="auto"/>
                <w:sz w:val="32"/>
                <w:szCs w:val="32"/>
                <w:lang w:val="en-US" w:eastAsia="zh-CN"/>
              </w:rPr>
            </w:pPr>
            <w:r>
              <w:rPr>
                <w:rFonts w:hint="eastAsia" w:ascii="??_GB2312" w:hAnsi="??_GB2312" w:cs="??_GB2312"/>
                <w:color w:val="auto"/>
                <w:sz w:val="32"/>
                <w:szCs w:val="32"/>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cs="??_GB2312"/>
                <w:color w:val="auto"/>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cs="??_GB2312"/>
                <w:color w:val="auto"/>
                <w:sz w:val="32"/>
                <w:szCs w:val="32"/>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_GB2312" w:hAnsi="??_GB2312" w:eastAsia="Times New Roman" w:cs="??_GB2312"/>
                <w:color w:val="auto"/>
                <w:sz w:val="32"/>
                <w:szCs w:val="32"/>
              </w:rPr>
            </w:pPr>
            <w:r>
              <w:rPr>
                <w:rFonts w:hint="eastAsia" w:ascii="??_GB2312" w:hAnsi="??_GB2312" w:cs="??_GB2312"/>
                <w:color w:val="auto"/>
                <w:sz w:val="32"/>
                <w:szCs w:val="32"/>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_GB2312" w:hAnsi="??_GB2312" w:eastAsia="宋体" w:cs="??_GB2312"/>
                <w:color w:val="auto"/>
                <w:sz w:val="32"/>
                <w:szCs w:val="32"/>
                <w:lang w:val="en-US" w:eastAsia="zh-CN"/>
              </w:rPr>
            </w:pPr>
            <w:r>
              <w:rPr>
                <w:rFonts w:hint="eastAsia" w:ascii="??_GB2312" w:hAnsi="??_GB2312" w:cs="??_GB2312"/>
                <w:color w:val="auto"/>
                <w:sz w:val="32"/>
                <w:szCs w:val="32"/>
                <w:lang w:val="en-US" w:eastAsia="zh-CN"/>
              </w:rPr>
              <w:t>0</w:t>
            </w:r>
          </w:p>
        </w:tc>
      </w:tr>
    </w:tbl>
    <w:p>
      <w:pPr>
        <w:spacing w:line="560" w:lineRule="exact"/>
        <w:ind w:firstLine="643" w:firstLineChars="200"/>
        <w:rPr>
          <w:rFonts w:ascii="??_GB2312" w:hAnsi="??_GB2312" w:eastAsia="Times New Roman" w:cs="??_GB2312"/>
          <w:b/>
          <w:bCs/>
          <w:color w:val="auto"/>
          <w:sz w:val="32"/>
          <w:szCs w:val="32"/>
        </w:rPr>
      </w:pPr>
      <w:r>
        <w:rPr>
          <w:rFonts w:hint="eastAsia" w:ascii="宋体" w:hAnsi="宋体" w:cs="宋体"/>
          <w:b/>
          <w:bCs/>
          <w:color w:val="auto"/>
          <w:sz w:val="32"/>
          <w:szCs w:val="32"/>
        </w:rPr>
        <w:t>五、存在的主要问题及改进情况</w:t>
      </w:r>
    </w:p>
    <w:p>
      <w:pPr>
        <w:spacing w:line="560" w:lineRule="exact"/>
        <w:ind w:firstLine="640" w:firstLineChars="200"/>
        <w:jc w:val="left"/>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本年度政府信息公开工作整体上稳定有序推进，同时也存在着一些问题，比如：发布信息格式不规范，存在主送单位未顶格编排的问题，年报公开形式不够活泼，组织机构信息公开不够及时等。</w:t>
      </w:r>
    </w:p>
    <w:p>
      <w:pPr>
        <w:spacing w:line="560" w:lineRule="exact"/>
        <w:ind w:firstLine="640" w:firstLineChars="200"/>
        <w:jc w:val="left"/>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rPr>
        <w:t>2023年，</w:t>
      </w:r>
      <w:r>
        <w:rPr>
          <w:rFonts w:hint="eastAsia" w:ascii="仿宋_GB2312" w:hAnsi="宋体" w:eastAsia="仿宋_GB2312" w:cs="宋体"/>
          <w:color w:val="auto"/>
          <w:sz w:val="32"/>
          <w:szCs w:val="32"/>
          <w:lang w:eastAsia="zh-CN"/>
        </w:rPr>
        <w:t>本单位</w:t>
      </w:r>
      <w:r>
        <w:rPr>
          <w:rFonts w:hint="eastAsia" w:ascii="仿宋_GB2312" w:hAnsi="宋体" w:eastAsia="仿宋_GB2312" w:cs="宋体"/>
          <w:color w:val="auto"/>
          <w:sz w:val="32"/>
          <w:szCs w:val="32"/>
        </w:rPr>
        <w:t>将</w:t>
      </w:r>
      <w:r>
        <w:rPr>
          <w:rFonts w:hint="eastAsia" w:ascii="仿宋_GB2312" w:hAnsi="宋体" w:eastAsia="仿宋_GB2312" w:cs="宋体"/>
          <w:color w:val="auto"/>
          <w:sz w:val="32"/>
          <w:szCs w:val="32"/>
          <w:lang w:eastAsia="zh-CN"/>
        </w:rPr>
        <w:t>进一步丰富</w:t>
      </w:r>
      <w:r>
        <w:rPr>
          <w:rFonts w:hint="eastAsia" w:ascii="仿宋_GB2312" w:hAnsi="宋体" w:eastAsia="仿宋_GB2312" w:cs="宋体"/>
          <w:color w:val="auto"/>
          <w:sz w:val="32"/>
          <w:szCs w:val="32"/>
        </w:rPr>
        <w:t>公开</w:t>
      </w:r>
      <w:r>
        <w:rPr>
          <w:rFonts w:hint="eastAsia" w:ascii="仿宋_GB2312" w:hAnsi="宋体" w:eastAsia="仿宋_GB2312" w:cs="宋体"/>
          <w:color w:val="auto"/>
          <w:sz w:val="32"/>
          <w:szCs w:val="32"/>
          <w:lang w:eastAsia="zh-CN"/>
        </w:rPr>
        <w:t>形式</w:t>
      </w:r>
      <w:r>
        <w:rPr>
          <w:rFonts w:hint="eastAsia" w:ascii="仿宋_GB2312" w:hAnsi="宋体" w:eastAsia="仿宋_GB2312" w:cs="宋体"/>
          <w:color w:val="auto"/>
          <w:sz w:val="32"/>
          <w:szCs w:val="32"/>
        </w:rPr>
        <w:t>，</w:t>
      </w:r>
      <w:r>
        <w:rPr>
          <w:rFonts w:hint="eastAsia" w:ascii="仿宋_GB2312" w:hAnsi="宋体" w:eastAsia="仿宋_GB2312" w:cs="宋体"/>
          <w:color w:val="auto"/>
          <w:sz w:val="32"/>
          <w:szCs w:val="32"/>
          <w:lang w:eastAsia="zh-CN"/>
        </w:rPr>
        <w:t>做到图文并茂，浅显易懂。密切关注新市民所思所想所需，不断延伸政府信息公开的广度和深度。继续加强政务公开的规范性与时效性，确保政务信息在第一时间进行发布。积极参加全市统一的政务公开社会评议并定期按规定发布责任追究情况。</w:t>
      </w:r>
    </w:p>
    <w:p>
      <w:pPr>
        <w:spacing w:line="560" w:lineRule="exact"/>
        <w:ind w:firstLine="643" w:firstLineChars="200"/>
        <w:rPr>
          <w:rFonts w:ascii="??_GB2312" w:hAnsi="??_GB2312" w:eastAsia="Times New Roman" w:cs="??_GB2312"/>
          <w:b/>
          <w:bCs/>
          <w:color w:val="auto"/>
          <w:sz w:val="32"/>
          <w:szCs w:val="32"/>
        </w:rPr>
      </w:pPr>
      <w:r>
        <w:rPr>
          <w:rFonts w:hint="eastAsia" w:ascii="宋体" w:hAnsi="宋体" w:cs="宋体"/>
          <w:b/>
          <w:bCs/>
          <w:color w:val="auto"/>
          <w:sz w:val="32"/>
          <w:szCs w:val="32"/>
        </w:rPr>
        <w:t>六、其他需要报告的事项</w:t>
      </w:r>
    </w:p>
    <w:p>
      <w:pPr>
        <w:spacing w:line="560" w:lineRule="exact"/>
        <w:ind w:firstLine="640" w:firstLineChars="200"/>
        <w:jc w:val="lef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2023年1月1日至12月31日，本单位共收取信息处理费0元。</w:t>
      </w:r>
    </w:p>
    <w:p>
      <w:pPr>
        <w:spacing w:line="560" w:lineRule="exact"/>
        <w:ind w:firstLine="640" w:firstLineChars="200"/>
        <w:jc w:val="both"/>
        <w:rPr>
          <w:rFonts w:hint="eastAsia" w:ascii="仿宋_GB2312" w:hAnsi="宋体" w:eastAsia="仿宋_GB2312" w:cs="宋体"/>
          <w:color w:val="auto"/>
          <w:sz w:val="32"/>
          <w:szCs w:val="32"/>
          <w:lang w:val="en-US" w:eastAsia="zh-CN"/>
        </w:rPr>
      </w:pPr>
    </w:p>
    <w:p>
      <w:pPr>
        <w:spacing w:line="560" w:lineRule="exact"/>
        <w:ind w:firstLine="640" w:firstLineChars="200"/>
        <w:jc w:val="left"/>
        <w:rPr>
          <w:rFonts w:hint="eastAsia" w:ascii="??_GB2312" w:hAnsi="??_GB2312" w:eastAsia="Times New Roman" w:cs="??_GB2312"/>
          <w:color w:val="auto"/>
          <w:sz w:val="32"/>
          <w:szCs w:val="32"/>
        </w:rPr>
      </w:pPr>
    </w:p>
    <w:p>
      <w:pPr>
        <w:spacing w:line="560" w:lineRule="exact"/>
        <w:ind w:firstLine="640" w:firstLineChars="200"/>
        <w:jc w:val="left"/>
        <w:rPr>
          <w:rFonts w:hint="eastAsia" w:ascii="仿宋_GB2312" w:hAnsi="宋体" w:eastAsia="仿宋_GB2312" w:cs="宋体"/>
          <w:color w:val="auto"/>
          <w:sz w:val="32"/>
          <w:szCs w:val="32"/>
          <w:lang w:val="en-US" w:eastAsia="zh-CN"/>
        </w:rPr>
      </w:pPr>
      <w:r>
        <w:rPr>
          <w:rFonts w:ascii="??_GB2312" w:hAnsi="??_GB2312" w:eastAsia="Times New Roman" w:cs="??_GB2312"/>
          <w:color w:val="auto"/>
          <w:sz w:val="32"/>
          <w:szCs w:val="32"/>
        </w:rPr>
        <w:t xml:space="preserve">                       </w:t>
      </w:r>
      <w:r>
        <w:rPr>
          <w:rFonts w:hint="eastAsia" w:ascii="仿宋_GB2312" w:hAnsi="宋体" w:eastAsia="仿宋_GB2312" w:cs="宋体"/>
          <w:color w:val="auto"/>
          <w:sz w:val="32"/>
          <w:szCs w:val="32"/>
          <w:lang w:val="en-US" w:eastAsia="zh-CN"/>
        </w:rPr>
        <w:t>慈溪市新市民服务中心</w:t>
      </w:r>
    </w:p>
    <w:p>
      <w:pPr>
        <w:spacing w:line="560" w:lineRule="exact"/>
        <w:ind w:firstLine="640" w:firstLineChars="200"/>
        <w:jc w:val="left"/>
        <w:rPr>
          <w:rFonts w:hint="default"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 xml:space="preserve">                          2024年1月4日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DB72D2"/>
    <w:multiLevelType w:val="singleLevel"/>
    <w:tmpl w:val="2DDB72D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5B16"/>
    <w:rsid w:val="007F4228"/>
    <w:rsid w:val="01131200"/>
    <w:rsid w:val="01976D23"/>
    <w:rsid w:val="021A21F7"/>
    <w:rsid w:val="03586EA4"/>
    <w:rsid w:val="03EA35CB"/>
    <w:rsid w:val="04427EC1"/>
    <w:rsid w:val="051D46C3"/>
    <w:rsid w:val="05BF1D94"/>
    <w:rsid w:val="05CF6011"/>
    <w:rsid w:val="07933201"/>
    <w:rsid w:val="079D21DF"/>
    <w:rsid w:val="091A46E2"/>
    <w:rsid w:val="0A46438B"/>
    <w:rsid w:val="0A78194E"/>
    <w:rsid w:val="0C2604DE"/>
    <w:rsid w:val="0D7C0091"/>
    <w:rsid w:val="0DDE40CC"/>
    <w:rsid w:val="0E57600A"/>
    <w:rsid w:val="0E8159EC"/>
    <w:rsid w:val="1165325A"/>
    <w:rsid w:val="12A30529"/>
    <w:rsid w:val="156A09E8"/>
    <w:rsid w:val="15CA3F0C"/>
    <w:rsid w:val="163D5A89"/>
    <w:rsid w:val="16673843"/>
    <w:rsid w:val="168643D5"/>
    <w:rsid w:val="16C43170"/>
    <w:rsid w:val="17DB05D7"/>
    <w:rsid w:val="18342CB8"/>
    <w:rsid w:val="183701D9"/>
    <w:rsid w:val="1906291C"/>
    <w:rsid w:val="19143E66"/>
    <w:rsid w:val="196C6A78"/>
    <w:rsid w:val="19A1615F"/>
    <w:rsid w:val="1A1D1896"/>
    <w:rsid w:val="1A8055B9"/>
    <w:rsid w:val="1ADB44D5"/>
    <w:rsid w:val="1B5B4486"/>
    <w:rsid w:val="1CAF0B17"/>
    <w:rsid w:val="1D3D2EF4"/>
    <w:rsid w:val="1D5774B0"/>
    <w:rsid w:val="1DB244D9"/>
    <w:rsid w:val="1F594144"/>
    <w:rsid w:val="201B2564"/>
    <w:rsid w:val="229B0CB8"/>
    <w:rsid w:val="23153FF3"/>
    <w:rsid w:val="23171669"/>
    <w:rsid w:val="242E0DBA"/>
    <w:rsid w:val="25A33B8D"/>
    <w:rsid w:val="25CB21F7"/>
    <w:rsid w:val="26FD620C"/>
    <w:rsid w:val="2715675B"/>
    <w:rsid w:val="28667058"/>
    <w:rsid w:val="28706D19"/>
    <w:rsid w:val="28720727"/>
    <w:rsid w:val="2AAB580F"/>
    <w:rsid w:val="2AC47D24"/>
    <w:rsid w:val="2AD03FD3"/>
    <w:rsid w:val="2B2D6119"/>
    <w:rsid w:val="2B9E2477"/>
    <w:rsid w:val="2BE9655D"/>
    <w:rsid w:val="2C201F12"/>
    <w:rsid w:val="2D8E201B"/>
    <w:rsid w:val="2DAC3128"/>
    <w:rsid w:val="2ED20B55"/>
    <w:rsid w:val="30DE4E88"/>
    <w:rsid w:val="32F9292C"/>
    <w:rsid w:val="33133EBB"/>
    <w:rsid w:val="33563011"/>
    <w:rsid w:val="33E55F68"/>
    <w:rsid w:val="34F00DFC"/>
    <w:rsid w:val="35111416"/>
    <w:rsid w:val="352D680F"/>
    <w:rsid w:val="359D4003"/>
    <w:rsid w:val="35DF3B9A"/>
    <w:rsid w:val="35F5779F"/>
    <w:rsid w:val="3623491E"/>
    <w:rsid w:val="36271913"/>
    <w:rsid w:val="37410393"/>
    <w:rsid w:val="37A57F02"/>
    <w:rsid w:val="37CD0078"/>
    <w:rsid w:val="37FA03AE"/>
    <w:rsid w:val="380D7354"/>
    <w:rsid w:val="39446403"/>
    <w:rsid w:val="3A2A5BD3"/>
    <w:rsid w:val="3B4832A6"/>
    <w:rsid w:val="3CC14CFE"/>
    <w:rsid w:val="3FBD27E4"/>
    <w:rsid w:val="40EE7B4A"/>
    <w:rsid w:val="411D0118"/>
    <w:rsid w:val="41775674"/>
    <w:rsid w:val="41C01B41"/>
    <w:rsid w:val="428A269C"/>
    <w:rsid w:val="43210171"/>
    <w:rsid w:val="434550A8"/>
    <w:rsid w:val="44331736"/>
    <w:rsid w:val="44C21595"/>
    <w:rsid w:val="45B340B1"/>
    <w:rsid w:val="461A3B1B"/>
    <w:rsid w:val="46504E69"/>
    <w:rsid w:val="469B7B53"/>
    <w:rsid w:val="47117047"/>
    <w:rsid w:val="47431B6E"/>
    <w:rsid w:val="47DB63CA"/>
    <w:rsid w:val="485D745C"/>
    <w:rsid w:val="4A6E2A37"/>
    <w:rsid w:val="4B53016B"/>
    <w:rsid w:val="4BFD15D6"/>
    <w:rsid w:val="4D16246D"/>
    <w:rsid w:val="4D3F0A52"/>
    <w:rsid w:val="4E8C5D85"/>
    <w:rsid w:val="4E905574"/>
    <w:rsid w:val="4ECE2F12"/>
    <w:rsid w:val="4EE87AC3"/>
    <w:rsid w:val="4F0836F9"/>
    <w:rsid w:val="4FF343D6"/>
    <w:rsid w:val="509224F2"/>
    <w:rsid w:val="51587205"/>
    <w:rsid w:val="51765142"/>
    <w:rsid w:val="5237602E"/>
    <w:rsid w:val="540C71C0"/>
    <w:rsid w:val="544B3A05"/>
    <w:rsid w:val="54BD1793"/>
    <w:rsid w:val="551441D2"/>
    <w:rsid w:val="56573D40"/>
    <w:rsid w:val="56E05DC6"/>
    <w:rsid w:val="575E5AF5"/>
    <w:rsid w:val="57C74848"/>
    <w:rsid w:val="57FF0F86"/>
    <w:rsid w:val="5805588B"/>
    <w:rsid w:val="5834289E"/>
    <w:rsid w:val="58897BA5"/>
    <w:rsid w:val="58974EF0"/>
    <w:rsid w:val="589C46DF"/>
    <w:rsid w:val="5AA57D01"/>
    <w:rsid w:val="5AE53471"/>
    <w:rsid w:val="5BB40474"/>
    <w:rsid w:val="5D1826AF"/>
    <w:rsid w:val="5D6E4B94"/>
    <w:rsid w:val="5E857910"/>
    <w:rsid w:val="5E9E6434"/>
    <w:rsid w:val="5ECF1B47"/>
    <w:rsid w:val="60BF41CD"/>
    <w:rsid w:val="60F40A85"/>
    <w:rsid w:val="61AF1358"/>
    <w:rsid w:val="61BD412D"/>
    <w:rsid w:val="62CE62BD"/>
    <w:rsid w:val="6324277E"/>
    <w:rsid w:val="63562387"/>
    <w:rsid w:val="6378161E"/>
    <w:rsid w:val="65A17F37"/>
    <w:rsid w:val="66922A58"/>
    <w:rsid w:val="669F3AAE"/>
    <w:rsid w:val="670145BC"/>
    <w:rsid w:val="677061A3"/>
    <w:rsid w:val="681C56A5"/>
    <w:rsid w:val="68A93DDF"/>
    <w:rsid w:val="6A2A2714"/>
    <w:rsid w:val="6A770132"/>
    <w:rsid w:val="6A8D3C06"/>
    <w:rsid w:val="6C062033"/>
    <w:rsid w:val="6CDF7F33"/>
    <w:rsid w:val="6D1C3A36"/>
    <w:rsid w:val="6FAE2CB7"/>
    <w:rsid w:val="7000002F"/>
    <w:rsid w:val="71012F72"/>
    <w:rsid w:val="71267A24"/>
    <w:rsid w:val="7383028C"/>
    <w:rsid w:val="74525313"/>
    <w:rsid w:val="74A803D8"/>
    <w:rsid w:val="74F93CAD"/>
    <w:rsid w:val="75895CE5"/>
    <w:rsid w:val="75D15F89"/>
    <w:rsid w:val="76294523"/>
    <w:rsid w:val="76323CD7"/>
    <w:rsid w:val="76617F46"/>
    <w:rsid w:val="76BC5FAF"/>
    <w:rsid w:val="7706789B"/>
    <w:rsid w:val="77344241"/>
    <w:rsid w:val="7814092F"/>
    <w:rsid w:val="78572FC0"/>
    <w:rsid w:val="789D2C70"/>
    <w:rsid w:val="79321717"/>
    <w:rsid w:val="7A6B1F94"/>
    <w:rsid w:val="7AA159BD"/>
    <w:rsid w:val="7AE53E4E"/>
    <w:rsid w:val="7B016569"/>
    <w:rsid w:val="7C2E2D90"/>
    <w:rsid w:val="7C353B17"/>
    <w:rsid w:val="7CA5738C"/>
    <w:rsid w:val="7D4C0EF2"/>
    <w:rsid w:val="7D960A43"/>
    <w:rsid w:val="7E40126C"/>
    <w:rsid w:val="7E9F43EC"/>
    <w:rsid w:val="7FDA1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145</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2023-01-11T07:55:00Z</dcterms:created>
  <dc:creator>Administrator</dc:creator>
  <cp:lastModifiedBy>Kate.J.C</cp:lastModifiedBy>
  <dcterms:modified xsi:type="dcterms:W3CDTF">2024-01-09T07:11:49Z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