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79" w:leftChars="133" w:firstLine="1680" w:firstLineChars="600"/>
        <w:jc w:val="both"/>
        <w:rPr>
          <w:rFonts w:ascii="仿宋" w:hAnsi="仿宋" w:eastAsia="仿宋" w:cs="仿宋"/>
          <w:i w:val="0"/>
          <w:iCs w:val="0"/>
          <w:caps w:val="0"/>
          <w:color w:val="000000"/>
          <w:spacing w:val="0"/>
          <w:sz w:val="28"/>
          <w:szCs w:val="28"/>
          <w:shd w:val="clear" w:fill="FFFFFF"/>
        </w:rPr>
      </w:pPr>
      <w:r>
        <w:rPr>
          <w:rFonts w:ascii="仿宋" w:hAnsi="仿宋" w:eastAsia="仿宋" w:cs="仿宋"/>
          <w:i w:val="0"/>
          <w:iCs w:val="0"/>
          <w:caps w:val="0"/>
          <w:color w:val="000000"/>
          <w:spacing w:val="0"/>
          <w:sz w:val="28"/>
          <w:szCs w:val="28"/>
          <w:shd w:val="clear" w:fill="FFFFFF"/>
        </w:rPr>
        <w:t>慈溪市“小微企业三年健康成长计划”</w:t>
      </w:r>
    </w:p>
    <w:p>
      <w:pPr>
        <w:ind w:left="279" w:leftChars="133" w:firstLine="3080" w:firstLineChars="1100"/>
        <w:jc w:val="both"/>
      </w:pPr>
      <w:bookmarkStart w:id="0" w:name="_GoBack"/>
      <w:bookmarkEnd w:id="0"/>
      <w:r>
        <w:rPr>
          <w:rFonts w:hint="eastAsia" w:ascii="仿宋" w:hAnsi="仿宋" w:eastAsia="仿宋" w:cs="仿宋"/>
          <w:i w:val="0"/>
          <w:iCs w:val="0"/>
          <w:caps w:val="0"/>
          <w:color w:val="000000"/>
          <w:spacing w:val="0"/>
          <w:sz w:val="28"/>
          <w:szCs w:val="28"/>
          <w:shd w:val="clear" w:fill="FFFFFF"/>
          <w:lang w:eastAsia="zh-CN"/>
        </w:rPr>
        <w:t>（</w:t>
      </w:r>
      <w:r>
        <w:rPr>
          <w:rFonts w:hint="eastAsia" w:ascii="仿宋" w:hAnsi="仿宋" w:eastAsia="仿宋" w:cs="仿宋"/>
          <w:i w:val="0"/>
          <w:iCs w:val="0"/>
          <w:caps w:val="0"/>
          <w:color w:val="000000"/>
          <w:spacing w:val="0"/>
          <w:sz w:val="28"/>
          <w:szCs w:val="28"/>
          <w:shd w:val="clear" w:fill="FFFFFF"/>
          <w:lang w:val="en-US" w:eastAsia="zh-CN"/>
        </w:rPr>
        <w:t>2021-2023年</w:t>
      </w:r>
      <w:r>
        <w:rPr>
          <w:rFonts w:hint="eastAsia" w:ascii="仿宋" w:hAnsi="仿宋" w:eastAsia="仿宋" w:cs="仿宋"/>
          <w:i w:val="0"/>
          <w:iCs w:val="0"/>
          <w:caps w:val="0"/>
          <w:color w:val="000000"/>
          <w:spacing w:val="0"/>
          <w:sz w:val="28"/>
          <w:szCs w:val="28"/>
          <w:shd w:val="clear" w:fill="FFFFFF"/>
          <w:lang w:eastAsia="zh-CN"/>
        </w:rPr>
        <w:t>）</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为贯彻落实省、宁波市关于滚动实施“小微企业三年成长计划”有关决策部署，推动小微企业融入新发展格局，向高技术、高品质、高效益、高附加值转型升级，实现高质量发展，根据《浙江省人民政府办公厅关于印发浙江省小微企业三年成长计划（2021—2023年）的通知》（浙政办发〔2021〕21号）、《宁波市“小微企业三年成长计划”工作领导小组关于印发宁波市小微企业三年成长计划（2021—2023年）的通知》（甬微组发〔2021〕1号）精神，结合我市实际，制定本计划。</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一、主要目标</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一）增量提质并举。到2023年底，全市新增小微企业10600家以上，新增八大万亿产业小微企业4250家以上。“规下”工业小微企业增加值年均增长6%以上。小微企业培育库中县级库企业达2800家。按上级要求完成新增“规下”升“规上”工业小微企业目标。</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二）增强市场竞争力。到2023年底，按上级要求完成全市新增科技型小微企业目标，研发投入占销售收入比例不低于2.5%，科研人员占职工总数比例不低于10%。按上级要求完成新增知识产权贯标小微企业、商业秘密保护示范小微企业、知识产权管理规范化小微企业、信用管理示范小微企业、“守合同重信用”小微企业等目标，落实小微企业专利申请和“品牌指导服务站”建设任务。</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（三）创造更优资源支撑。</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1．金融支持方面。到2023年底，按上级要求完成新增普惠小微贷款、个体工商户经营性贷款、普惠小微首贷户、小微企业首贷户目标，年新增首贷户数宁波占比不低于在册企业数宁波占比，小微企业信用贷款累计发放额度达到上级要求，实现单户授信总额1000万元以下（含）的普惠型小微企业贷款“两增”（即贷款增速不低于各项贷款增速、有贷款余额的户数保持增长），普惠型小微企业贷款利率保持在合理水平。</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2．人才和技术支持方面。到2023年底，新增培训小微企业劳动者6800人次以上，积极开展小微企业商业秘密保护培训。技术支持方面，按上级要求完成向小微企业开放科研设施与仪器、开展小微企业计量服务、测量管理体系免费培训等目标任务，“浙里检”服务小微企业订单数每年50单以上。</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3．空间支持方面。到2023年底，按上级要求完成小微企业园建成和提升目标，占地100亩以上的生产制造类小微企业园超过半数，制造业小微企业园数量和建筑面积占比均达到70%以上，入园集聚小微企业2000家以上，整治“低散乱污”企业（作坊）500家以上，基本形成布局结构合理、产业特色鲜明、配套设施完善、管理服务规范的小微企业园高质量发展格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二、重点任务</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一）推动转型升级和高质量发展。持续深化“个转企、小升规、规改股、股上市”工作。实施“小巨人”培育行动、“雄鹰行动”“凤凰行动”“培育壮大单项冠军企业三年行动”“科技独角兽”企业培育行动和企业技术创新赶超工程，培育“单项冠军”“专精特新”企业，着力推动产业基础高级化、产业链现代化发展。开展创新型、成长型民营小微企业发掘培育行动，挖掘培育创新型、成长型民营小微企业和创成型小微企业赋能平台。遴选符合发展方向、具有发展潜力的入选省市县三级小微企业培育库，动态掌握企业需求，做精做细企业画像，聚焦聚力开展帮扶。（责任单位：市市场监管局、市经信局、市金融发展服务中心、市工商联）</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二）推动融入周边一体化发展。引导小微企业主动融入长三角一体化和浙江自由贸易试验区宁波片区新发展格局，主动把握“高铁时代”“前湾时代”等历史机遇，拓展产业发展空间，做强产业“聚合链”，打造产业发展新优势。引导小微企业更新发展观念，顺应智能化数字化发展潮流，抓住市场发展新趋势，聚焦突破关键核心技术，聚力分析国内市场消费升级需求，研发适销对路的内销产品，促进“同线同标同质”发展，助力国内消费提质升级。（责任单位：市“小微企业三年健康成长计划”工作领导小组各成员单位）</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三）推动数字化融合发展。以数字化转型为引领，加快生产方式和企业形态变革，通过新技术、新产品、新产业和新业态改造提升传统产业，支持小微企业建设智能生产线、数字化车间。推进5G、人工智能、物联网在小微企业的应用，支持小微企业上云服务。推动以小微企业园为重点，建设“园区大脑”，实现园区应用程序（APP）场景化管理。支持小微企业参与浙江制造“百网万品”拓市场行动。（责任单位：市经信局、市科技局、市商务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四）推动融入双循环发展格局。推动小微企业在供应链上的协同，积极鼓励小微企业组团参加全国性、区域性和行业性合作大会以及产品展销会，促进小微企业在生产、分配、流通上更多依托国内市场，形成完善的产业体系。引导小微企业积极参加境内外国际性重点展会，通过国际产业、技术交流等活动把握国际市场动向、提升应用国际规则能力和提高防范风险能力，大力开拓“一带一路”沿线等新兴市场。依托长三角一体化、浙江自由贸易试验区宁波片区、中国与中东欧国家合作平台（宁波）、境外经贸合作区等优质海外开放平台开展投资，助力小微企业拓市场、拿订单、保份额，在更高水平的开放中拓展市场。（责任单位：市商务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三、保障措施</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一）构建更高效便捷的准入环境。在推进企业开办全流程“一件事”一日办结基础上，进一步“减环节、压材料、降成本、提效率”，积极推广电子营业执照应用、免费发放电子印章、大力推行电子税控设备（税务UKey），实施企业开办“1+0”模式。深入推进企业开办线上线下深度融合，线下设置企业开办一日办服务专窗，以“同城同标”“同城同质”为标准，推行全域无差别“同城通办”。探索实行企业登记智能化审批，实现企业开办全环节业务“一窗通办”“一网通办”。持续深化“证照分离”改革，按照上级有关要求取消一批和改为备案一批涉企经营许可事项，继续推进告知承诺事项增量扩面，加快实现“准入即准营”。（责任单位：市市场监管局、市司法局、市税务局、市大数据发展中心、市政务服务办以及各涉企许可部门）</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二）维护公平竞争的市场秩序。全面落实公平竞争审查制度，废除妨碍统一市场和公平竞争的各种规定和做法。加强反垄断、反不当竞争执法，加大对虚假宣传、混淆仿冒、假冒伪劣等打击力度。强化涉企收费行为监管，持续开展转供电等重点领域收费专项整治。依法保障小微企业平等参与政府采购活动，政府采购不得在资产总额、营业收入、纳税额等方面对小微企业实行歧视待遇。推动“双随机、一公开”监管实现行政执法部门全覆盖。（责任单位：市市场监管局、市财政局、市发改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三）健全完善金融赋能有效机制。持续推动小微企业金融服务“增量扩面、提质降本”，开展小微企业和个体工商户“首贷户拓展三年行动”，以首贷户为服务对象，提供政策辅导、融资撮合、跟踪回访等“一站式”服务，推广应用“贷款码”，加快推动授权清单、授信清单、尽职免责清单在首贷户领域落地，强化货币政策工具运用，支持金融机构落实差别化信贷政策，推动金融机构下放审批权限、缩短审批流程，适当提高首贷户风险容忍度，对材料齐全的无贷户小微企业和个体工商户授信申请，原则上在3个工作日内给予回复。深化“437”金融支持小微企业发展专项行动细分工作。积极培育多层次的信用评级市场，帮助小微企业获得信用贷款，鼓励金融机构提升金融支持的路径。面向优质小微企业加大无还本续贷、中长期贷款投放力度，激励金融机构依托应收账款融资服务平台加大小微企业应收账款融资支持力度，支持金融机构发行小微专项金融债、信贷资产证券化。深化政策性融资担保体系建设，政策性担保平均费率保持在1%以下，有效提升小微企业和个体工商户融资获得感。开展小微企业园“伙伴银行”建设专项行动，建立银园对接、信息共享、定期磋商三项机制，加强对小微企业园全流程金融服务。（责任单位：人行慈溪支行、市金融发展服务中心、市经信局、市市场监管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四）健全完善人才赋能培育机制。认真组织开展小微企业职业技能提升培训行动，全面提升小微企业劳动者技能水平、技能素质和就业创业能力。根据本地小微企业（个体工商户）的行业分类、产业集聚状况、经济特色，积极开展调研摸查，理清小微企业（个体户）紧缺工种分布情况，制定符合我市小微企业职业技能培训工种目录，积极适应小微企业（个体户）岗位需求和发展需要，组织开展多元化、特色化的职业技能培训。积极开展职业技能大赛，带动小微企业职工学技能、练技能，同时要充分发挥线上培训机构作用，灵活开展培训。（责任单位：市人力社保局、市市场监管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五）健全科技平台赋能共享机制。全面推进产业共享型创新平台建设，优化市级各类公共技术服务平台规划建设，推动检验检测、科技仪器、研发设计等资源更多更广地向小微企业开放。积极对接小微企业在市场准入、自主创新、质量提升、对外贸易等方面的需求，推动开放实验室环境设施、检测仪器设备、技术标准信息、科研成果等科技资源，帮助小微企业解决质量技术难题，降低创新创业成本。聚焦本地特色产业，整合质量基础设施及相关配套服务，建立智能家电等质量基础“一站式”服务平台，提供计量、标准化、检验检测、认证认可等综合服务。进一步发挥计量对技术创新和质量提升的支撑引领作用，实施“优化计量、提质增效”行动，积极探索“小微企业计量管家”“小微企业计量服务包”服务，帮助指导小微企业完善测量体系、解决计量测试难题，提升产品质量控制能力和质量水平。（责任单位：市科技局、市市场监管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六）建立高质量企业信用指标体系。积极实施信用“531X”工程，建立信用综合监管机制，对不同风险程度的企业实行差异化监管。推进“品字标浙江制造”认证工作，推行“一企一策、一品一策”等精准服务措施。推进“小微企业质量管理体系认证提升行动”，引导小微企业按照《小微企业应用ISO 9001提升质量管理的实施指南》，建立质量管理体系并有效运行，通过质量认证手段提升产业整体质量水平，提高产品质量和美誉度，增强小微企业质量提升发展的内在动力，全面提高质量管理水平。进一步规范小微企业纳税信用评价，推进联合激励和惩戒机制建设。（责任单位：市发改局、市市场监管局、市税务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七）推进并保护创新发展。健全科技型小微企业和高新技术企业“微成长、小升高、高壮大”梯次培育机制，在全面执行企业研发费用税前加计扣除政策基础上，如有条件可对小微企业再按研发费用税前加计扣除标准的一定比例给予奖补。大力推进知识产权事项“最多跑一地”改革，按照上级工作部署落实省级品牌指导站建设，为小微企业提供全链条、全门类、一站式服务；实施小微企业知识产权托管计划，引导小微企业加大高价值专利培育力度，推进小微企业知识产权贯标；推进建设知识产权保护工作站，搭建小微企业知识产权维权服务平台，主动为小微企业提供快保护和海外维权服务；组织开展专利、商标、商业秘密等领域联合执法，实施知识产权保护直通车，切实加大小微企业商标权、专利权等知识产权保护力度。积极参与实施商业秘密保护“十区百县千企”工程。（责任单位：市科技局、市财政局、市税务局、市市场监管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八）大力推进集聚发展行动。大力推进实施新兴产业区域集聚发展行动，集聚要素资源。通过淘汰撤销一批、转型提升一批、整合优化一批、创建打造一批，整合全市开发区（园区）。聚焦“123”产业集群和前沿产业的发展重点领域，构建形成6条标志性产业链、若干条培育产业链的“6+X”产业链培育体系，建立产业链上中下游互融共生、分工合作、利益共享的一体化组织新模式。借鉴特色小镇发展理念，大力组织实施“520”行动计划，打造高能级战略平台。依托产业共享型创新平台财政转型激励政策，按照开发区（园区）整合提升要求推进各类小微企业集聚平台和产业共享型创新平台规划建设和改造提升。（责任单位：市发改局、市经信局、市科技局、市财政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（九）落实小微企业税收赋能行动。全面落实小微企业各项税收优惠政策，切实减轻小微企业税收负担，支持小微企业发展和创业创新，小微企业税收优惠政策享受面达100%。（责任单位：市税务局）</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四、工作要求</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一）提高政治站位。各“小微企业三年健康成长计划”工作领导小组成员单位要对标对表高质量发展建设共同富裕先锋市的使命担当，对照主要目标、重点任务，进一步完善促进小微企业发展的有关政策，落实各项保障措施，树立大局观念，强化服务意识，推动小微企业和个体工商户发展实现新突破。</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二）加强统筹协调。“小微企业三年健康成长计划”工作领导小组办公室要切实发挥牵头抓总、协同推进作用，加强重大问题研究和重要工作协调，强化部门协作，凝聚工作合力。在工作推进落实过程中，要主动服务、靠前服务、精准服务，着力研究解决小微企业发展中遇到的难点痛点问题，以更实的举措推进小微企业和个体工商户高质量发展。</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三）加强统计分析。健全与小微企业相适应的统计分析机制，开展小微企业发展情况抽样调查和监测分析，配合编制小微企业发展指数、成长指数、活力指数等系列指数，提高分析的智能化、预判性和灵敏性。做好税收惠企政策效应评估，持续开展企业缴费负担常态化监测，完善“小升规”企业、规模以下工业非目录企业、外贸小微企业的统计监测。</w:t>
      </w:r>
      <w:r>
        <w:rPr>
          <w:rFonts w:hint="eastAsia" w:ascii="仿宋" w:hAnsi="仿宋" w:eastAsia="仿宋" w:cs="仿宋"/>
          <w:i w:val="0"/>
          <w:iCs w:val="0"/>
          <w:caps w:val="0"/>
          <w:color w:val="000000"/>
          <w:spacing w:val="0"/>
          <w:sz w:val="28"/>
          <w:szCs w:val="28"/>
          <w:shd w:val="clear" w:fill="FFFFFF"/>
        </w:rPr>
        <w:br w:type="textWrapping"/>
      </w:r>
      <w:r>
        <w:rPr>
          <w:rFonts w:hint="eastAsia" w:ascii="仿宋" w:hAnsi="仿宋" w:eastAsia="仿宋" w:cs="仿宋"/>
          <w:i w:val="0"/>
          <w:iCs w:val="0"/>
          <w:caps w:val="0"/>
          <w:color w:val="000000"/>
          <w:spacing w:val="0"/>
          <w:sz w:val="28"/>
          <w:szCs w:val="28"/>
          <w:shd w:val="clear" w:fill="FFFFFF"/>
        </w:rPr>
        <w:t>　　（四）加强督促指导。“小微企业三年健康成长计划”工作领导小组要加强对“小微企业三年健康成长计划”工作的督查检查，定期通报各项工作推进情况和完成情况，并根据省、宁波市小微企业三年成长计划工作领导小组统一安排，指导做好省、市两级小微企业“成长之星”、服务小微企业“优秀机构（平台）”、先进集体和先进个人等推选认定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585826"/>
    <w:rsid w:val="1F585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2021-12-15T08:16:00Z</dcterms:created>
  <dc:creator>Dell</dc:creator>
  <cp:lastModifiedBy>Dell</cp:lastModifiedBy>
  <dcterms:modified xsi:type="dcterms:W3CDTF">2021-12-15T08:22:12Z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BE552960DA1E4A89BCBE8D39D4DAD67B</vt:lpwstr>
  </property>
</Properties>
</file>