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  <w:bookmarkStart w:id="0" w:name="_GoBack"/>
      <w:bookmarkEnd w:id="0"/>
      <w:r>
        <w:rPr>
          <w:rFonts w:ascii="方正小标宋简体" w:hAnsi="方正小标宋简体" w:eastAsia="方正小标宋简体" w:cs="方正小标宋简体"/>
          <w:sz w:val="36"/>
          <w:szCs w:val="36"/>
        </w:rPr>
        <w:t>2022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年慈溪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滨海经济开发区（龙山镇）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信息公开工作年度报告</w:t>
      </w:r>
    </w:p>
    <w:p>
      <w:pPr>
        <w:spacing w:line="560" w:lineRule="exact"/>
        <w:ind w:firstLine="640" w:firstLineChars="200"/>
        <w:rPr>
          <w:rFonts w:ascii="??_GB2312" w:hAnsi="??_GB2312" w:eastAsia="Times New Roman" w:cs="??_GB2312"/>
          <w:sz w:val="32"/>
          <w:szCs w:val="32"/>
        </w:rPr>
      </w:pPr>
    </w:p>
    <w:p>
      <w:pPr>
        <w:spacing w:line="560" w:lineRule="exact"/>
        <w:ind w:firstLine="642" w:firstLineChars="200"/>
        <w:jc w:val="left"/>
        <w:rPr>
          <w:rFonts w:ascii="??_GB2312" w:hAnsi="??_GB2312" w:eastAsia="Times New Roman" w:cs="??_GB2312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一、总体情况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2"/>
          <w:sz w:val="32"/>
          <w:szCs w:val="32"/>
          <w:lang w:val="en-US" w:eastAsia="zh-CN" w:bidi="ar-SA"/>
        </w:rPr>
        <w:t>本报告根据《中华人民共和国政府信息公开条例》《慈溪市人民政府办公室关于做好2022年度政务公开工作总结和年度报告有关事项的通知》等文件要求进行编制。本年报所列数据的统计期限自2022年1月1日起至2022年12月31日止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240" w:lineRule="auto"/>
        <w:ind w:left="0" w:leftChars="0" w:right="0" w:firstLine="640" w:firstLineChars="200"/>
        <w:textAlignment w:val="auto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2"/>
          <w:sz w:val="32"/>
          <w:szCs w:val="32"/>
          <w:lang w:val="en-US" w:eastAsia="zh-CN" w:bidi="ar-SA"/>
        </w:rPr>
        <w:t>主动公开情况。龙山镇遵循公平、公开、便民的原则，积极拓宽主动公开渠道，不断推动政务公开水平再上台阶。202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2"/>
          <w:sz w:val="32"/>
          <w:szCs w:val="32"/>
          <w:lang w:val="en-US" w:eastAsia="zh" w:bidi="ar-SA"/>
        </w:rPr>
        <w:t>2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2"/>
          <w:sz w:val="32"/>
          <w:szCs w:val="32"/>
          <w:lang w:val="en-US" w:eastAsia="zh-CN" w:bidi="ar-SA"/>
        </w:rPr>
        <w:t>年，龙山镇主动公开信息86条，其中政府网站公开政府信息86条，政务微博和政务微信均已注销。收到公开申请2件，均已详细回复。同时积极回复民生e点通等网络民生服务平台中的公众热点和重大舆情，累计回复206条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240" w:lineRule="auto"/>
        <w:ind w:left="0" w:leftChars="0" w:right="0" w:firstLine="640" w:firstLineChars="200"/>
        <w:textAlignment w:val="auto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2"/>
          <w:sz w:val="32"/>
          <w:szCs w:val="32"/>
          <w:lang w:val="en-US" w:eastAsia="zh-CN" w:bidi="ar-SA"/>
        </w:rPr>
        <w:t>依申请公开情况。龙山镇按要求抓好依申请公开的各项工作，及时公开依申请信息。本年度，收到并答复依申请公开2件。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240" w:lineRule="auto"/>
        <w:ind w:left="0" w:leftChars="0" w:right="0" w:firstLine="640" w:firstLineChars="200"/>
        <w:textAlignment w:val="auto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2"/>
          <w:sz w:val="32"/>
          <w:szCs w:val="32"/>
          <w:lang w:val="en-US" w:eastAsia="zh-CN" w:bidi="ar-SA"/>
        </w:rPr>
        <w:t>政府信息管理情况。严格落实《关于全面推进政务公开工作的实施意见》及其实施细则，积极配合上级部门完善政府信息主动公开目录体系。加强政府信息发布审核，对于录入信息严格做到“一人录入，一人审核”，确保信息语言表述合理，数据准确无误。同时丰富信息公开的内容，涵盖农村工作、医疗卫生、社会福利、教育、环保等方面。积极拓宽信息公开的形式，以图解、解读、表格等方式传达政务信息，增加政务信息的多样性和可读性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240" w:lineRule="auto"/>
        <w:ind w:left="0" w:leftChars="0" w:right="0" w:firstLine="640" w:firstLineChars="200"/>
        <w:textAlignment w:val="auto"/>
        <w:rPr>
          <w:rFonts w:hint="default" w:ascii="宋体" w:hAnsi="宋体" w:eastAsia="宋体" w:cs="宋体"/>
          <w:b w:val="0"/>
          <w:i w:val="0"/>
          <w:caps w:val="0"/>
          <w:color w:val="000000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2"/>
          <w:sz w:val="32"/>
          <w:szCs w:val="32"/>
          <w:lang w:val="en-US" w:eastAsia="zh-CN" w:bidi="ar-SA"/>
        </w:rPr>
        <w:t>平台建设情况。</w:t>
      </w:r>
      <w:r>
        <w:rPr>
          <w:rFonts w:hint="eastAsia" w:ascii="宋体" w:hAnsi="宋体" w:cs="宋体"/>
          <w:b w:val="0"/>
          <w:i w:val="0"/>
          <w:caps w:val="0"/>
          <w:color w:val="000000"/>
          <w:spacing w:val="0"/>
          <w:kern w:val="2"/>
          <w:sz w:val="32"/>
          <w:szCs w:val="32"/>
          <w:lang w:val="en-US" w:eastAsia="zh-CN" w:bidi="ar-SA"/>
        </w:rPr>
        <w:t>龙山镇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2"/>
          <w:sz w:val="32"/>
          <w:szCs w:val="32"/>
          <w:lang w:val="en-US" w:eastAsia="zh-CN" w:bidi="ar-SA"/>
        </w:rPr>
        <w:t>积极参与政府网站的优化工作，</w:t>
      </w:r>
      <w:r>
        <w:rPr>
          <w:rFonts w:hint="eastAsia" w:ascii="宋体" w:hAnsi="宋体" w:cs="宋体"/>
          <w:b w:val="0"/>
          <w:i w:val="0"/>
          <w:caps w:val="0"/>
          <w:color w:val="000000"/>
          <w:spacing w:val="0"/>
          <w:kern w:val="2"/>
          <w:sz w:val="32"/>
          <w:szCs w:val="32"/>
          <w:lang w:val="en-US" w:eastAsia="zh-CN" w:bidi="ar-SA"/>
        </w:rPr>
        <w:t>更新政务公开平台的政策文件、组织机构、社会救助和社会福利等栏目。规范管理政务新媒体，政务公开平台政务微博和微信均已注销，现依托“滨海伏龙”政务新媒体平台发布政务信息，坚持每周更新五次以上，并积极完善回复和互动功能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240" w:lineRule="auto"/>
        <w:ind w:left="0" w:leftChars="0" w:right="0" w:firstLine="640" w:firstLineChars="200"/>
        <w:textAlignment w:val="auto"/>
        <w:rPr>
          <w:rFonts w:hint="default" w:ascii="宋体" w:hAnsi="宋体" w:eastAsia="宋体" w:cs="宋体"/>
          <w:b w:val="0"/>
          <w:i w:val="0"/>
          <w:caps w:val="0"/>
          <w:color w:val="000000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2"/>
          <w:sz w:val="32"/>
          <w:szCs w:val="32"/>
          <w:lang w:val="en-US" w:eastAsia="zh-CN" w:bidi="ar-SA"/>
        </w:rPr>
        <w:t>监督保障情况。积极参加全市统一的政务公开社会评议，定期按规定发布责任追究情况。同时加强对信息公开工作的日常监督，做到质量数量双达标。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2"/>
          <w:sz w:val="32"/>
          <w:szCs w:val="32"/>
          <w:lang w:val="en-US" w:eastAsia="zh-CN" w:bidi="ar-SA"/>
        </w:rPr>
      </w:pPr>
    </w:p>
    <w:p>
      <w:pPr>
        <w:spacing w:line="560" w:lineRule="exact"/>
        <w:ind w:firstLine="642" w:firstLineChars="200"/>
        <w:jc w:val="left"/>
        <w:rPr>
          <w:rFonts w:ascii="??_GB2312" w:hAnsi="??_GB2312" w:eastAsia="Times New Roman" w:cs="??_GB2312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二、主动公开政府信息情况</w:t>
      </w:r>
    </w:p>
    <w:tbl>
      <w:tblPr>
        <w:tblStyle w:val="3"/>
        <w:tblpPr w:leftFromText="180" w:rightFromText="180" w:vertAnchor="text" w:horzAnchor="page" w:tblpX="1614" w:tblpY="725"/>
        <w:tblOverlap w:val="never"/>
        <w:tblW w:w="88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60"/>
        <w:gridCol w:w="2588"/>
        <w:gridCol w:w="2252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88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第二十条第（一）项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信息内容</w:t>
            </w:r>
          </w:p>
        </w:tc>
        <w:tc>
          <w:tcPr>
            <w:tcW w:w="2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本年制发件数</w:t>
            </w:r>
          </w:p>
        </w:tc>
        <w:tc>
          <w:tcPr>
            <w:tcW w:w="2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本年废止件数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现行有效件数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规章</w:t>
            </w:r>
          </w:p>
        </w:tc>
        <w:tc>
          <w:tcPr>
            <w:tcW w:w="2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??_GB2312" w:hAnsi="??_GB2312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行政规范性文件</w:t>
            </w:r>
          </w:p>
        </w:tc>
        <w:tc>
          <w:tcPr>
            <w:tcW w:w="2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88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第二十条第（五）项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信息内容</w:t>
            </w:r>
          </w:p>
        </w:tc>
        <w:tc>
          <w:tcPr>
            <w:tcW w:w="68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本年处理决定数量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行政许可</w:t>
            </w:r>
          </w:p>
        </w:tc>
        <w:tc>
          <w:tcPr>
            <w:tcW w:w="68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??_GB2312" w:hAnsi="??_GB2312" w:eastAsia="宋体"/>
                <w:sz w:val="24"/>
                <w:szCs w:val="24"/>
                <w:highlight w:val="yellow"/>
                <w:lang w:val="en-US" w:eastAsia="zh-CN"/>
              </w:rPr>
            </w:pPr>
            <w:r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88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第二十条第（六）项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信息内容</w:t>
            </w:r>
          </w:p>
        </w:tc>
        <w:tc>
          <w:tcPr>
            <w:tcW w:w="68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本年处理决定数量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行政处罚</w:t>
            </w:r>
          </w:p>
        </w:tc>
        <w:tc>
          <w:tcPr>
            <w:tcW w:w="68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行政强制</w:t>
            </w:r>
          </w:p>
        </w:tc>
        <w:tc>
          <w:tcPr>
            <w:tcW w:w="68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88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第二十条第（八）项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信息内容</w:t>
            </w:r>
          </w:p>
        </w:tc>
        <w:tc>
          <w:tcPr>
            <w:tcW w:w="68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本年收费金额（单位：万元）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行政事业性收费</w:t>
            </w:r>
          </w:p>
        </w:tc>
        <w:tc>
          <w:tcPr>
            <w:tcW w:w="68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spacing w:line="560" w:lineRule="exact"/>
        <w:ind w:firstLine="642" w:firstLineChars="200"/>
        <w:jc w:val="left"/>
        <w:rPr>
          <w:rFonts w:ascii="??_GB2312" w:hAnsi="??_GB2312" w:eastAsia="Times New Roman" w:cs="??_GB2312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三、收到和处理政府信息公开申请情况</w:t>
      </w:r>
    </w:p>
    <w:tbl>
      <w:tblPr>
        <w:tblStyle w:val="3"/>
        <w:tblW w:w="89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9"/>
        <w:gridCol w:w="1080"/>
        <w:gridCol w:w="2028"/>
        <w:gridCol w:w="696"/>
        <w:gridCol w:w="772"/>
        <w:gridCol w:w="705"/>
        <w:gridCol w:w="925"/>
        <w:gridCol w:w="735"/>
        <w:gridCol w:w="460"/>
        <w:gridCol w:w="5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0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（本列数据的勾稽关系为：第一项加第二项之和，等于第三项加第四项之和）</w:t>
            </w:r>
          </w:p>
        </w:tc>
        <w:tc>
          <w:tcPr>
            <w:tcW w:w="481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申请人情况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07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18"/>
                <w:szCs w:val="18"/>
              </w:rPr>
            </w:pPr>
          </w:p>
        </w:tc>
        <w:tc>
          <w:tcPr>
            <w:tcW w:w="6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自然人</w:t>
            </w:r>
          </w:p>
        </w:tc>
        <w:tc>
          <w:tcPr>
            <w:tcW w:w="35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法人或其他组织</w:t>
            </w:r>
          </w:p>
        </w:tc>
        <w:tc>
          <w:tcPr>
            <w:tcW w:w="5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总计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5" w:hRule="atLeast"/>
          <w:jc w:val="center"/>
        </w:trPr>
        <w:tc>
          <w:tcPr>
            <w:tcW w:w="4107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18"/>
                <w:szCs w:val="18"/>
              </w:rPr>
            </w:pPr>
          </w:p>
        </w:tc>
        <w:tc>
          <w:tcPr>
            <w:tcW w:w="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商业企业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科研机构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社会公益组织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法律服务机构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其他</w:t>
            </w:r>
          </w:p>
        </w:tc>
        <w:tc>
          <w:tcPr>
            <w:tcW w:w="5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41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一、本年新收到政府信息公开申请数量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2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41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二、上年结转政府信息公开申请数量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三、本年度办理结果</w:t>
            </w:r>
          </w:p>
        </w:tc>
        <w:tc>
          <w:tcPr>
            <w:tcW w:w="3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（一）予以公开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3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（二）部分公开（区分处理的，只计这一情形，不计其他情形）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（三）不予公开</w:t>
            </w: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1.</w:t>
            </w:r>
            <w:r>
              <w:rPr>
                <w:rFonts w:hint="eastAsia" w:ascii="宋体" w:hAnsi="宋体" w:cs="宋体"/>
                <w:sz w:val="24"/>
                <w:szCs w:val="24"/>
              </w:rPr>
              <w:t>属于国家秘密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2.</w:t>
            </w:r>
            <w:r>
              <w:rPr>
                <w:rFonts w:hint="eastAsia" w:ascii="宋体" w:hAnsi="宋体" w:cs="宋体"/>
                <w:sz w:val="24"/>
                <w:szCs w:val="24"/>
              </w:rPr>
              <w:t>其他法律行政法规禁止公开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3.</w:t>
            </w:r>
            <w:r>
              <w:rPr>
                <w:rFonts w:hint="eastAsia" w:ascii="宋体" w:hAnsi="宋体" w:cs="宋体"/>
                <w:sz w:val="24"/>
                <w:szCs w:val="24"/>
              </w:rPr>
              <w:t>危及</w:t>
            </w:r>
            <w:r>
              <w:rPr>
                <w:rFonts w:ascii="??_GB2312" w:hAnsi="??_GB2312" w:eastAsia="Times New Roman" w:cs="??_GB2312"/>
                <w:sz w:val="24"/>
                <w:szCs w:val="24"/>
              </w:rPr>
              <w:t>“</w:t>
            </w:r>
            <w:r>
              <w:rPr>
                <w:rFonts w:hint="eastAsia" w:ascii="宋体" w:hAnsi="宋体" w:cs="宋体"/>
                <w:sz w:val="24"/>
                <w:szCs w:val="24"/>
              </w:rPr>
              <w:t>三安全一稳定</w:t>
            </w:r>
            <w:r>
              <w:rPr>
                <w:rFonts w:ascii="??_GB2312" w:hAnsi="??_GB2312" w:eastAsia="Times New Roman" w:cs="??_GB2312"/>
                <w:sz w:val="24"/>
                <w:szCs w:val="24"/>
              </w:rPr>
              <w:t>”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4.</w:t>
            </w:r>
            <w:r>
              <w:rPr>
                <w:rFonts w:hint="eastAsia" w:ascii="宋体" w:hAnsi="宋体" w:cs="宋体"/>
                <w:sz w:val="24"/>
                <w:szCs w:val="24"/>
              </w:rPr>
              <w:t>保护第三方合法权益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5.</w:t>
            </w:r>
            <w:r>
              <w:rPr>
                <w:rFonts w:hint="eastAsia" w:ascii="宋体" w:hAnsi="宋体" w:cs="宋体"/>
                <w:sz w:val="24"/>
                <w:szCs w:val="24"/>
              </w:rPr>
              <w:t>属于三类内部事务信息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6.</w:t>
            </w:r>
            <w:r>
              <w:rPr>
                <w:rFonts w:hint="eastAsia" w:ascii="宋体" w:hAnsi="宋体" w:cs="宋体"/>
                <w:sz w:val="24"/>
                <w:szCs w:val="24"/>
              </w:rPr>
              <w:t>属于四类过程性信息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7.</w:t>
            </w:r>
            <w:r>
              <w:rPr>
                <w:rFonts w:hint="eastAsia" w:ascii="宋体" w:hAnsi="宋体" w:cs="宋体"/>
                <w:sz w:val="24"/>
                <w:szCs w:val="24"/>
              </w:rPr>
              <w:t>属于行政执法案卷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8.</w:t>
            </w:r>
            <w:r>
              <w:rPr>
                <w:rFonts w:hint="eastAsia" w:ascii="宋体" w:hAnsi="宋体" w:cs="宋体"/>
                <w:sz w:val="24"/>
                <w:szCs w:val="24"/>
              </w:rPr>
              <w:t>属于行政查询事项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（四）无法提供</w:t>
            </w: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1.</w:t>
            </w:r>
            <w:r>
              <w:rPr>
                <w:rFonts w:hint="eastAsia" w:ascii="宋体" w:hAnsi="宋体" w:cs="宋体"/>
                <w:sz w:val="24"/>
                <w:szCs w:val="24"/>
              </w:rPr>
              <w:t>本机关不掌握相关政府信息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2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2.</w:t>
            </w:r>
            <w:r>
              <w:rPr>
                <w:rFonts w:hint="eastAsia" w:ascii="宋体" w:hAnsi="宋体" w:cs="宋体"/>
                <w:sz w:val="24"/>
                <w:szCs w:val="24"/>
              </w:rPr>
              <w:t>没有现成信息需要另行制作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3.</w:t>
            </w:r>
            <w:r>
              <w:rPr>
                <w:rFonts w:hint="eastAsia" w:ascii="宋体" w:hAnsi="宋体" w:cs="宋体"/>
                <w:sz w:val="24"/>
                <w:szCs w:val="24"/>
              </w:rPr>
              <w:t>补正后申请内容仍不明确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（五）不予处理</w:t>
            </w: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1.</w:t>
            </w:r>
            <w:r>
              <w:rPr>
                <w:rFonts w:hint="eastAsia" w:ascii="宋体" w:hAnsi="宋体" w:cs="宋体"/>
                <w:sz w:val="24"/>
                <w:szCs w:val="24"/>
              </w:rPr>
              <w:t>信访举报投诉类申请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2.</w:t>
            </w:r>
            <w:r>
              <w:rPr>
                <w:rFonts w:hint="eastAsia" w:ascii="宋体" w:hAnsi="宋体" w:cs="宋体"/>
                <w:sz w:val="24"/>
                <w:szCs w:val="24"/>
              </w:rPr>
              <w:t>重复申请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3.</w:t>
            </w:r>
            <w:r>
              <w:rPr>
                <w:rFonts w:hint="eastAsia" w:ascii="宋体" w:hAnsi="宋体" w:cs="宋体"/>
                <w:sz w:val="24"/>
                <w:szCs w:val="24"/>
              </w:rPr>
              <w:t>要求提供公开出版物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4.</w:t>
            </w:r>
            <w:r>
              <w:rPr>
                <w:rFonts w:hint="eastAsia" w:ascii="宋体" w:hAnsi="宋体" w:cs="宋体"/>
                <w:sz w:val="24"/>
                <w:szCs w:val="24"/>
              </w:rPr>
              <w:t>无正当理由大量反复申请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5.</w:t>
            </w:r>
            <w:r>
              <w:rPr>
                <w:rFonts w:hint="eastAsia" w:ascii="宋体" w:hAnsi="宋体" w:cs="宋体"/>
                <w:sz w:val="24"/>
                <w:szCs w:val="24"/>
              </w:rPr>
              <w:t>要求行政机关确认或重新出具已获取信息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（六）其他处理</w:t>
            </w: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1.</w:t>
            </w:r>
            <w:r>
              <w:rPr>
                <w:rFonts w:hint="eastAsia" w:ascii="宋体" w:hAnsi="宋体" w:cs="宋体"/>
                <w:sz w:val="24"/>
                <w:szCs w:val="24"/>
              </w:rPr>
              <w:t>申请人无正当理由逾期不补正、行政机关不再处理其政府信息公开申请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 w:cs="??_GB2312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2.</w:t>
            </w:r>
            <w:r>
              <w:rPr>
                <w:rFonts w:hint="eastAsia" w:ascii="宋体" w:hAnsi="宋体" w:cs="宋体"/>
                <w:sz w:val="24"/>
                <w:szCs w:val="24"/>
              </w:rPr>
              <w:t>申请人逾期未按收费通知要求缴纳费用、行政机关不再处理其政府信息公开申请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 w:cs="??_GB2312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3.</w:t>
            </w:r>
            <w:r>
              <w:rPr>
                <w:rFonts w:hint="eastAsia" w:ascii="宋体" w:hAnsi="宋体" w:cs="宋体"/>
                <w:sz w:val="24"/>
                <w:szCs w:val="24"/>
              </w:rPr>
              <w:t>其他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3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（七）总计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2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41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四、结转下年度继续办理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??_GB2312" w:hAnsi="??_GB2312" w:eastAsia="Times New Roman"/>
                <w:sz w:val="24"/>
                <w:szCs w:val="24"/>
                <w:lang w:val="en-US" w:eastAsia="zh"/>
              </w:rPr>
              <w:t>0</w:t>
            </w:r>
          </w:p>
        </w:tc>
      </w:tr>
    </w:tbl>
    <w:p>
      <w:pPr>
        <w:numPr>
          <w:ilvl w:val="0"/>
          <w:numId w:val="0"/>
        </w:numPr>
        <w:spacing w:line="560" w:lineRule="exact"/>
        <w:rPr>
          <w:rFonts w:hint="eastAsia" w:ascii="宋体" w:hAnsi="宋体" w:cs="宋体"/>
          <w:b/>
          <w:bCs/>
          <w:sz w:val="32"/>
          <w:szCs w:val="32"/>
        </w:rPr>
      </w:pPr>
    </w:p>
    <w:p>
      <w:pPr>
        <w:numPr>
          <w:ilvl w:val="0"/>
          <w:numId w:val="0"/>
        </w:numPr>
        <w:spacing w:line="560" w:lineRule="exact"/>
        <w:rPr>
          <w:rFonts w:hint="eastAsia" w:ascii="宋体" w:hAnsi="宋体" w:cs="宋体"/>
          <w:b/>
          <w:bCs/>
          <w:sz w:val="32"/>
          <w:szCs w:val="32"/>
        </w:rPr>
      </w:pPr>
    </w:p>
    <w:p>
      <w:pPr>
        <w:numPr>
          <w:ilvl w:val="0"/>
          <w:numId w:val="0"/>
        </w:numPr>
        <w:spacing w:line="560" w:lineRule="exact"/>
        <w:rPr>
          <w:rFonts w:hint="eastAsia" w:ascii="宋体" w:hAnsi="宋体" w:cs="宋体"/>
          <w:b/>
          <w:bCs/>
          <w:sz w:val="32"/>
          <w:szCs w:val="32"/>
        </w:rPr>
      </w:pPr>
    </w:p>
    <w:p>
      <w:pPr>
        <w:numPr>
          <w:ilvl w:val="0"/>
          <w:numId w:val="0"/>
        </w:numPr>
        <w:spacing w:line="560" w:lineRule="exact"/>
        <w:rPr>
          <w:rFonts w:hint="eastAsia" w:ascii="宋体" w:hAnsi="宋体" w:cs="宋体"/>
          <w:b/>
          <w:bCs/>
          <w:sz w:val="32"/>
          <w:szCs w:val="32"/>
        </w:rPr>
      </w:pPr>
    </w:p>
    <w:p>
      <w:pPr>
        <w:numPr>
          <w:ilvl w:val="0"/>
          <w:numId w:val="2"/>
        </w:numPr>
        <w:spacing w:line="560" w:lineRule="exact"/>
        <w:ind w:firstLine="642" w:firstLineChars="200"/>
        <w:rPr>
          <w:rFonts w:hint="eastAsia"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政府信息公开行政复议、行政诉讼情况</w:t>
      </w:r>
    </w:p>
    <w:tbl>
      <w:tblPr>
        <w:tblStyle w:val="3"/>
        <w:tblW w:w="9028" w:type="dxa"/>
        <w:tblInd w:w="-189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2"/>
        <w:gridCol w:w="583"/>
        <w:gridCol w:w="583"/>
        <w:gridCol w:w="583"/>
        <w:gridCol w:w="661"/>
        <w:gridCol w:w="529"/>
        <w:gridCol w:w="584"/>
        <w:gridCol w:w="584"/>
        <w:gridCol w:w="584"/>
        <w:gridCol w:w="611"/>
        <w:gridCol w:w="584"/>
        <w:gridCol w:w="584"/>
        <w:gridCol w:w="584"/>
        <w:gridCol w:w="585"/>
        <w:gridCol w:w="61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318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行政复议</w:t>
            </w:r>
          </w:p>
        </w:tc>
        <w:tc>
          <w:tcPr>
            <w:tcW w:w="5846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行政诉讼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77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结果维持</w:t>
            </w:r>
          </w:p>
        </w:tc>
        <w:tc>
          <w:tcPr>
            <w:tcW w:w="58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结果纠正</w:t>
            </w:r>
          </w:p>
        </w:tc>
        <w:tc>
          <w:tcPr>
            <w:tcW w:w="58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其他结果</w:t>
            </w:r>
          </w:p>
        </w:tc>
        <w:tc>
          <w:tcPr>
            <w:tcW w:w="58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尚未审结</w:t>
            </w:r>
          </w:p>
        </w:tc>
        <w:tc>
          <w:tcPr>
            <w:tcW w:w="661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总计</w:t>
            </w:r>
          </w:p>
        </w:tc>
        <w:tc>
          <w:tcPr>
            <w:tcW w:w="289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未经复议直接起诉</w:t>
            </w:r>
          </w:p>
        </w:tc>
        <w:tc>
          <w:tcPr>
            <w:tcW w:w="295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复议后起诉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5" w:hRule="atLeast"/>
        </w:trPr>
        <w:tc>
          <w:tcPr>
            <w:tcW w:w="77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</w:p>
        </w:tc>
        <w:tc>
          <w:tcPr>
            <w:tcW w:w="58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</w:p>
        </w:tc>
        <w:tc>
          <w:tcPr>
            <w:tcW w:w="58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</w:p>
        </w:tc>
        <w:tc>
          <w:tcPr>
            <w:tcW w:w="58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</w:p>
        </w:tc>
        <w:tc>
          <w:tcPr>
            <w:tcW w:w="66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</w:p>
        </w:tc>
        <w:tc>
          <w:tcPr>
            <w:tcW w:w="5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结果维持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结果纠正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其他结果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尚未审结</w:t>
            </w:r>
          </w:p>
        </w:tc>
        <w:tc>
          <w:tcPr>
            <w:tcW w:w="6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总计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结果维持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结果纠正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其他结果</w:t>
            </w:r>
          </w:p>
        </w:tc>
        <w:tc>
          <w:tcPr>
            <w:tcW w:w="5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尚未审结</w:t>
            </w:r>
          </w:p>
        </w:tc>
        <w:tc>
          <w:tcPr>
            <w:tcW w:w="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总计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5" w:hRule="atLeast"/>
        </w:trPr>
        <w:tc>
          <w:tcPr>
            <w:tcW w:w="7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 w:cs="??_GB2312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eastAsia="宋体" w:cs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 w:cs="??_GB2312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eastAsia="宋体" w:cs="??_GB231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5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 w:cs="??_GB2312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eastAsia="宋体" w:cs="??_GB231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5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 w:cs="??_GB2312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eastAsia="宋体" w:cs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 w:cs="??_GB2312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eastAsia="宋体" w:cs="??_GB2312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5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 w:cs="??_GB2312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eastAsia="宋体" w:cs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 w:cs="??_GB2312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eastAsia="宋体" w:cs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 w:cs="??_GB2312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eastAsia="宋体" w:cs="??_GB2312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??_GB2312" w:hAnsi="??_GB2312" w:eastAsia="宋体" w:cs="??_GB2312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eastAsia="宋体" w:cs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 w:cs="??_GB2312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eastAsia="宋体" w:cs="??_GB2312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 w:cs="??_GB2312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eastAsia="宋体" w:cs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 w:cs="??_GB2312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eastAsia="宋体" w:cs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 w:cs="??_GB2312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eastAsia="宋体" w:cs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 w:cs="??_GB2312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eastAsia="宋体" w:cs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 w:cs="??_GB2312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eastAsia="宋体" w:cs="??_GB2312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widowControl w:val="0"/>
        <w:numPr>
          <w:ilvl w:val="0"/>
          <w:numId w:val="0"/>
        </w:numPr>
        <w:spacing w:line="560" w:lineRule="exact"/>
        <w:jc w:val="both"/>
        <w:rPr>
          <w:rFonts w:hint="eastAsia" w:ascii="宋体" w:hAnsi="宋体" w:cs="宋体"/>
          <w:b/>
          <w:bCs/>
          <w:sz w:val="32"/>
          <w:szCs w:val="32"/>
        </w:rPr>
      </w:pPr>
    </w:p>
    <w:p>
      <w:pPr>
        <w:widowControl w:val="0"/>
        <w:numPr>
          <w:ilvl w:val="0"/>
          <w:numId w:val="0"/>
        </w:numPr>
        <w:spacing w:line="560" w:lineRule="exact"/>
        <w:jc w:val="both"/>
        <w:rPr>
          <w:rFonts w:hint="eastAsia" w:ascii="宋体" w:hAnsi="宋体" w:cs="宋体"/>
          <w:b/>
          <w:bCs/>
          <w:sz w:val="32"/>
          <w:szCs w:val="32"/>
        </w:rPr>
      </w:pPr>
    </w:p>
    <w:p>
      <w:pPr>
        <w:widowControl w:val="0"/>
        <w:numPr>
          <w:ilvl w:val="0"/>
          <w:numId w:val="0"/>
        </w:numPr>
        <w:spacing w:line="560" w:lineRule="exact"/>
        <w:jc w:val="both"/>
        <w:rPr>
          <w:rFonts w:hint="eastAsia" w:ascii="宋体" w:hAnsi="宋体" w:cs="宋体"/>
          <w:b/>
          <w:bCs/>
          <w:sz w:val="32"/>
          <w:szCs w:val="32"/>
        </w:rPr>
      </w:pPr>
    </w:p>
    <w:p>
      <w:pPr>
        <w:spacing w:line="560" w:lineRule="exact"/>
        <w:ind w:firstLine="642" w:firstLineChars="200"/>
        <w:rPr>
          <w:rFonts w:ascii="??_GB2312" w:hAnsi="??_GB2312" w:eastAsia="Times New Roman" w:cs="??_GB2312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五、存在的主要问题及改进情况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240" w:lineRule="auto"/>
        <w:ind w:left="0" w:leftChars="0" w:right="0" w:firstLine="640" w:firstLineChars="200"/>
        <w:textAlignment w:val="auto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  <w:t>2022年，龙山镇信息公开在完善工作机制、拓宽公开渠道、推动制度落实等方面，取得了一定的成效，但仍然存在一定不足：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240" w:lineRule="auto"/>
        <w:ind w:left="0" w:leftChars="0" w:right="0" w:firstLine="640" w:firstLineChars="200"/>
        <w:textAlignment w:val="auto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lang w:val="en-US" w:eastAsia="zh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  <w:t>一、信息公开内容涵盖面不够广。政务动态、农村工作、社会福利等领域信息公开较多，医疗卫生、食品药品、教育、环保等相关领域信息相对较少。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240" w:lineRule="auto"/>
        <w:ind w:left="0" w:leftChars="0" w:right="0" w:firstLine="640" w:firstLineChars="200"/>
        <w:textAlignment w:val="auto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  <w:t>二、信息公开监督机制不够完善。各部门存在提供信息积极性不高的情况，公开信息的质量有时不够高，需要加强监督管理。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240" w:lineRule="auto"/>
        <w:ind w:left="0" w:leftChars="0" w:right="0" w:firstLine="640" w:firstLineChars="200"/>
        <w:textAlignment w:val="auto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  <w:t>下一步，龙山镇将继续严格落实信息公开制度。一是开展</w:t>
      </w:r>
      <w:r>
        <w:rPr>
          <w:rFonts w:hint="eastAsia" w:ascii="宋体" w:hAnsi="宋体" w:cs="宋体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  <w:t>信息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  <w:t>公开人员的培训工作，全面提高</w:t>
      </w:r>
      <w:r>
        <w:rPr>
          <w:rFonts w:hint="eastAsia" w:ascii="宋体" w:hAnsi="宋体" w:cs="宋体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  <w:t>信息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  <w:t>公开人员的信息撰写能力和政策解读能力。同时通过“老带新”等方式，确保新人能快速交接和熟悉工作。二是</w:t>
      </w:r>
      <w:r>
        <w:rPr>
          <w:rFonts w:hint="eastAsia" w:ascii="宋体" w:hAnsi="宋体" w:cs="宋体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  <w:t>积极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  <w:t>完善公开信息的内容，及时更新组织结构、农村危房改造、人事信息等栏目，积极扩大信息覆盖面，涵盖医疗卫生、食品药品、教育、环保等相关领域，实现信息公开内容多元化。三是加强对各部门的监督，创新考核机制，充分调动各线积极性，从而进一步提升信息实效性</w:t>
      </w:r>
      <w:r>
        <w:rPr>
          <w:rFonts w:hint="eastAsia" w:ascii="宋体" w:hAnsi="宋体" w:cs="宋体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  <w:t>。</w:t>
      </w:r>
    </w:p>
    <w:p>
      <w:pPr>
        <w:spacing w:line="560" w:lineRule="exact"/>
        <w:ind w:firstLine="642" w:firstLineChars="200"/>
        <w:rPr>
          <w:rFonts w:ascii="??_GB2312" w:hAnsi="??_GB2312" w:eastAsia="Times New Roman" w:cs="??_GB2312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六、其他需要报告的事项</w:t>
      </w:r>
    </w:p>
    <w:p>
      <w:pPr>
        <w:spacing w:line="560" w:lineRule="exact"/>
        <w:ind w:firstLine="640" w:firstLineChars="20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2"/>
          <w:sz w:val="32"/>
          <w:szCs w:val="32"/>
          <w:lang w:val="en-US" w:eastAsia="zh-CN" w:bidi="ar-SA"/>
        </w:rPr>
        <w:t>2022年1月1日至12月31日，本单位共收取信息处理费0元。</w:t>
      </w:r>
    </w:p>
    <w:p>
      <w:pPr>
        <w:spacing w:line="560" w:lineRule="exact"/>
        <w:ind w:firstLine="640" w:firstLineChars="20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2"/>
          <w:sz w:val="32"/>
          <w:szCs w:val="32"/>
          <w:lang w:val="en-US" w:eastAsia="zh-CN" w:bidi="ar-SA"/>
        </w:rPr>
      </w:pPr>
    </w:p>
    <w:p>
      <w:pPr>
        <w:spacing w:line="560" w:lineRule="exact"/>
        <w:ind w:firstLine="640" w:firstLineChars="20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2"/>
          <w:sz w:val="32"/>
          <w:szCs w:val="32"/>
          <w:lang w:val="en-US" w:eastAsia="zh-CN" w:bidi="ar-SA"/>
        </w:rPr>
      </w:pPr>
    </w:p>
    <w:p>
      <w:pPr>
        <w:spacing w:line="560" w:lineRule="exact"/>
        <w:ind w:firstLine="640" w:firstLineChars="20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2"/>
          <w:sz w:val="32"/>
          <w:szCs w:val="32"/>
          <w:lang w:val="en-US" w:eastAsia="zh-CN" w:bidi="ar-SA"/>
        </w:rPr>
        <w:t xml:space="preserve">                     慈溪滨海经济开发区（龙山镇）</w:t>
      </w:r>
    </w:p>
    <w:p>
      <w:pPr>
        <w:spacing w:line="560" w:lineRule="exact"/>
        <w:ind w:firstLine="640" w:firstLineChars="20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2"/>
          <w:sz w:val="32"/>
          <w:szCs w:val="32"/>
          <w:lang w:val="en-US" w:eastAsia="zh-CN" w:bidi="ar-SA"/>
        </w:rPr>
        <w:t xml:space="preserve">                      2023年1月</w:t>
      </w:r>
      <w:r>
        <w:rPr>
          <w:rFonts w:hint="eastAsia" w:ascii="宋体" w:hAnsi="宋体" w:cs="宋体"/>
          <w:b w:val="0"/>
          <w:i w:val="0"/>
          <w:caps w:val="0"/>
          <w:color w:val="000000"/>
          <w:spacing w:val="0"/>
          <w:kern w:val="2"/>
          <w:sz w:val="32"/>
          <w:szCs w:val="32"/>
          <w:lang w:val="en-US" w:eastAsia="zh-CN" w:bidi="ar-SA"/>
        </w:rPr>
        <w:t>13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2"/>
          <w:sz w:val="32"/>
          <w:szCs w:val="32"/>
          <w:lang w:val="en-US" w:eastAsia="zh-CN" w:bidi="ar-SA"/>
        </w:rPr>
        <w:t>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??_GB2312">
    <w:altName w:val="DejaVu Math TeX Gyre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黑体">
    <w:altName w:val="方正黑体_GBK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E9F20DC"/>
    <w:multiLevelType w:val="singleLevel"/>
    <w:tmpl w:val="BE9F20DC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BFD139B1"/>
    <w:multiLevelType w:val="singleLevel"/>
    <w:tmpl w:val="BFD139B1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true"/>
  <w:bordersDoNotSurroundFooter w:val="true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EF596D"/>
    <w:rsid w:val="597E0809"/>
    <w:rsid w:val="5BFF844F"/>
    <w:rsid w:val="5FE79852"/>
    <w:rsid w:val="6B7D25C6"/>
    <w:rsid w:val="77DD9B94"/>
    <w:rsid w:val="7DFB1E19"/>
    <w:rsid w:val="7FB624F9"/>
    <w:rsid w:val="7FBD3230"/>
    <w:rsid w:val="B7F7F9A8"/>
    <w:rsid w:val="BDDB7B5C"/>
    <w:rsid w:val="F6FB4D61"/>
    <w:rsid w:val="FFEF596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rFonts w:ascii="Times New Roman" w:hAnsi="Times New Roman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30</TotalTime>
  <ScaleCrop>false</ScaleCrop>
  <LinksUpToDate>false</LinksUpToDate>
  <CharactersWithSpaces>0</CharactersWithSpaces>
  <Application>WPS Office_11.8.2.1111_F1E327BC-269C-435d-A152-05C5408002CA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2022-12-12T09:26:00Z</dcterms:created>
  <dc:creator>thtf</dc:creator>
  <cp:lastModifiedBy>thtf</cp:lastModifiedBy>
  <cp:lastPrinted>2023-01-14T06:24:13Z</cp:lastPrinted>
  <dcterms:modified xsi:type="dcterms:W3CDTF">2023-01-31T15:26:57Z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2052-11.8.2.1111</vt:lpwstr>
  </property>
</Properties>
</file>