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center"/>
        <w:textAlignment w:val="auto"/>
        <w:rPr>
          <w:rFonts w:hint="eastAsia" w:ascii="黑体" w:hAnsi="黑体" w:eastAsia="黑体" w:cs="黑体"/>
          <w:color w:val="auto"/>
          <w:kern w:val="2"/>
          <w:sz w:val="32"/>
          <w:szCs w:val="32"/>
          <w:lang w:val="en-US" w:eastAsia="zh-CN" w:bidi="th"/>
        </w:rPr>
      </w:pPr>
      <w:r>
        <w:rPr>
          <w:rStyle w:val="11"/>
          <w:rFonts w:hint="eastAsia"/>
          <w:color w:val="auto"/>
          <w:sz w:val="32"/>
          <w:szCs w:val="32"/>
          <w:lang w:val="en-US" w:eastAsia="zh-CN"/>
        </w:rPr>
        <w:t>产业</w:t>
      </w:r>
      <w:r>
        <w:rPr>
          <w:rFonts w:hint="eastAsia" w:ascii="黑体" w:hAnsi="黑体" w:eastAsia="黑体" w:cs="黑体"/>
          <w:color w:val="auto"/>
          <w:kern w:val="2"/>
          <w:sz w:val="32"/>
          <w:szCs w:val="32"/>
          <w:lang w:val="en-US" w:eastAsia="zh-CN" w:bidi="th"/>
        </w:rPr>
        <w:t>创新服务综合体（企业创新联合体）实施细则</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center"/>
        <w:textAlignment w:val="auto"/>
        <w:rPr>
          <w:rFonts w:hint="eastAsia" w:ascii="黑体" w:hAnsi="黑体" w:eastAsia="黑体" w:cs="黑体"/>
          <w:color w:val="auto"/>
          <w:kern w:val="2"/>
          <w:sz w:val="32"/>
          <w:szCs w:val="32"/>
          <w:lang w:val="en-US" w:eastAsia="zh-CN" w:bidi="th"/>
        </w:rPr>
      </w:pP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3" w:firstLineChars="200"/>
        <w:jc w:val="left"/>
        <w:textAlignment w:val="auto"/>
        <w:rPr>
          <w:rFonts w:hint="eastAsia" w:ascii="仿宋" w:hAnsi="仿宋" w:eastAsia="仿宋" w:cs="仿宋"/>
          <w:b/>
          <w:bCs/>
          <w:color w:val="auto"/>
          <w:kern w:val="2"/>
          <w:sz w:val="32"/>
          <w:szCs w:val="32"/>
          <w:lang w:val="en-US" w:eastAsia="zh-CN" w:bidi="th"/>
        </w:rPr>
      </w:pPr>
      <w:r>
        <w:rPr>
          <w:rFonts w:hint="eastAsia" w:ascii="仿宋" w:hAnsi="仿宋" w:eastAsia="仿宋" w:cs="仿宋"/>
          <w:b/>
          <w:bCs/>
          <w:color w:val="auto"/>
          <w:kern w:val="2"/>
          <w:sz w:val="32"/>
          <w:szCs w:val="32"/>
          <w:lang w:val="en-US" w:eastAsia="zh-CN" w:bidi="th"/>
        </w:rPr>
        <w:t>一、补助对象</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各级产业创新综合体责任单位，各级创新联合体牵头单位。</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3" w:firstLineChars="200"/>
        <w:jc w:val="left"/>
        <w:textAlignment w:val="auto"/>
        <w:rPr>
          <w:rFonts w:hint="eastAsia" w:ascii="仿宋" w:hAnsi="仿宋" w:eastAsia="仿宋" w:cs="仿宋"/>
          <w:b/>
          <w:bCs/>
          <w:color w:val="auto"/>
          <w:kern w:val="2"/>
          <w:sz w:val="32"/>
          <w:szCs w:val="32"/>
          <w:lang w:val="en-US" w:eastAsia="zh-CN" w:bidi="th"/>
        </w:rPr>
      </w:pPr>
      <w:r>
        <w:rPr>
          <w:rFonts w:hint="eastAsia" w:ascii="仿宋" w:hAnsi="仿宋" w:eastAsia="仿宋" w:cs="仿宋"/>
          <w:b/>
          <w:bCs/>
          <w:color w:val="auto"/>
          <w:kern w:val="2"/>
          <w:sz w:val="32"/>
          <w:szCs w:val="32"/>
          <w:lang w:val="en-US" w:eastAsia="zh-CN" w:bidi="th"/>
        </w:rPr>
        <w:t>二、补助标准</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（一）列入镇级和慈溪市级（及以上）综合体的责任单位，分别给予责任单位50万元、200万元的经费补助；</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（二）优先支持企业创新联合体牵头单位承担各级行业共性攻关项目，推动组建各级企业创新联合体。</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3" w:firstLineChars="200"/>
        <w:jc w:val="left"/>
        <w:textAlignment w:val="auto"/>
        <w:rPr>
          <w:rFonts w:hint="eastAsia" w:ascii="仿宋" w:hAnsi="仿宋" w:eastAsia="仿宋" w:cs="仿宋"/>
          <w:b/>
          <w:bCs/>
          <w:color w:val="auto"/>
          <w:kern w:val="2"/>
          <w:sz w:val="32"/>
          <w:szCs w:val="32"/>
          <w:lang w:val="en-US" w:eastAsia="zh-CN" w:bidi="th"/>
        </w:rPr>
      </w:pPr>
      <w:r>
        <w:rPr>
          <w:rFonts w:hint="eastAsia" w:ascii="仿宋" w:hAnsi="仿宋" w:eastAsia="仿宋" w:cs="仿宋"/>
          <w:b/>
          <w:bCs/>
          <w:color w:val="auto"/>
          <w:kern w:val="2"/>
          <w:sz w:val="32"/>
          <w:szCs w:val="32"/>
          <w:lang w:val="en-US" w:eastAsia="zh-CN" w:bidi="th"/>
        </w:rPr>
        <w:t>三、审核和兑现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对通过年度评估考核的各级产业创新服务综合体，</w:t>
      </w:r>
      <w:r>
        <w:rPr>
          <w:rFonts w:hint="default" w:ascii="仿宋_GB2312" w:hAnsi="仿宋_GB2312" w:eastAsia="仿宋_GB2312" w:cs="仿宋_GB2312"/>
          <w:sz w:val="32"/>
          <w:szCs w:val="32"/>
          <w:lang w:val="en-US" w:eastAsia="zh-CN"/>
        </w:rPr>
        <w:t>市科技局</w:t>
      </w:r>
      <w:r>
        <w:rPr>
          <w:rFonts w:hint="eastAsia" w:ascii="仿宋_GB2312" w:hAnsi="仿宋_GB2312" w:eastAsia="仿宋_GB2312" w:cs="仿宋_GB2312"/>
          <w:sz w:val="32"/>
          <w:szCs w:val="32"/>
          <w:lang w:val="en-US" w:eastAsia="zh-CN"/>
        </w:rPr>
        <w:t>会同市财政局依据补助标准，将补助资金下达到各建设责任单位</w:t>
      </w:r>
      <w:r>
        <w:rPr>
          <w:rFonts w:hint="default" w:ascii="仿宋_GB2312" w:hAnsi="仿宋_GB2312" w:eastAsia="仿宋_GB2312" w:cs="仿宋_GB2312"/>
          <w:sz w:val="32"/>
          <w:szCs w:val="32"/>
          <w:lang w:val="en-US" w:eastAsia="zh-CN"/>
        </w:rPr>
        <w:t>。</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br w:type="page"/>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center"/>
        <w:textAlignment w:val="auto"/>
        <w:rPr>
          <w:rFonts w:hint="eastAsia" w:ascii="黑体" w:hAnsi="黑体" w:eastAsia="黑体" w:cs="黑体"/>
          <w:color w:val="auto"/>
          <w:kern w:val="2"/>
          <w:sz w:val="32"/>
          <w:szCs w:val="32"/>
          <w:lang w:val="en-US" w:eastAsia="zh-CN" w:bidi="th"/>
        </w:rPr>
      </w:pPr>
      <w:bookmarkStart w:id="0" w:name="_GoBack"/>
      <w:bookmarkEnd w:id="0"/>
      <w:r>
        <w:rPr>
          <w:rFonts w:hint="eastAsia" w:ascii="黑体" w:hAnsi="黑体" w:eastAsia="黑体" w:cs="黑体"/>
          <w:color w:val="auto"/>
          <w:kern w:val="2"/>
          <w:sz w:val="32"/>
          <w:szCs w:val="32"/>
          <w:lang w:val="en-US" w:eastAsia="zh-CN" w:bidi="th"/>
        </w:rPr>
        <w:t>科技计划项目实施细则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center"/>
        <w:textAlignment w:val="auto"/>
        <w:rPr>
          <w:rFonts w:hint="eastAsia" w:ascii="黑体" w:hAnsi="黑体" w:eastAsia="黑体" w:cs="黑体"/>
          <w:color w:val="auto"/>
          <w:kern w:val="2"/>
          <w:sz w:val="32"/>
          <w:szCs w:val="32"/>
          <w:lang w:val="en-US" w:eastAsia="zh-CN" w:bidi="th"/>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left"/>
        <w:textAlignment w:val="auto"/>
        <w:rPr>
          <w:rFonts w:hint="eastAsia" w:ascii="仿宋" w:hAnsi="仿宋" w:eastAsia="仿宋" w:cs="仿宋"/>
          <w:b/>
          <w:bCs/>
          <w:color w:val="auto"/>
          <w:kern w:val="2"/>
          <w:sz w:val="32"/>
          <w:szCs w:val="32"/>
          <w:lang w:val="en-US" w:eastAsia="zh-CN" w:bidi="th"/>
        </w:rPr>
      </w:pPr>
      <w:r>
        <w:rPr>
          <w:rFonts w:hint="eastAsia" w:ascii="仿宋" w:hAnsi="仿宋" w:eastAsia="仿宋" w:cs="仿宋"/>
          <w:b/>
          <w:bCs/>
          <w:color w:val="auto"/>
          <w:kern w:val="2"/>
          <w:sz w:val="32"/>
          <w:szCs w:val="32"/>
          <w:lang w:val="en-US" w:eastAsia="zh-CN" w:bidi="th"/>
        </w:rPr>
        <w:t>一、奖励对象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承担市科技计划项目，且具有独立法人资格的企事业单位(除全额事业单位外)、集体经济组织及其他具备研发或科技服务能力的单位。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left"/>
        <w:textAlignment w:val="auto"/>
        <w:rPr>
          <w:rFonts w:hint="eastAsia" w:ascii="仿宋" w:hAnsi="仿宋" w:eastAsia="仿宋" w:cs="仿宋"/>
          <w:b/>
          <w:bCs/>
          <w:color w:val="auto"/>
          <w:kern w:val="2"/>
          <w:sz w:val="32"/>
          <w:szCs w:val="32"/>
          <w:lang w:val="en-US" w:eastAsia="zh-CN" w:bidi="th"/>
        </w:rPr>
      </w:pPr>
      <w:r>
        <w:rPr>
          <w:rFonts w:hint="eastAsia" w:ascii="仿宋" w:hAnsi="仿宋" w:eastAsia="仿宋" w:cs="仿宋"/>
          <w:b/>
          <w:bCs/>
          <w:color w:val="auto"/>
          <w:kern w:val="2"/>
          <w:sz w:val="32"/>
          <w:szCs w:val="32"/>
          <w:lang w:val="en-US" w:eastAsia="zh-CN" w:bidi="th"/>
        </w:rPr>
        <w:t>二、项目支持范围</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3" w:firstLineChars="200"/>
        <w:jc w:val="left"/>
        <w:textAlignment w:val="auto"/>
        <w:rPr>
          <w:rFonts w:hint="eastAsia" w:ascii="仿宋" w:hAnsi="仿宋" w:eastAsia="仿宋" w:cs="仿宋"/>
          <w:b/>
          <w:bCs/>
          <w:color w:val="auto"/>
          <w:kern w:val="2"/>
          <w:sz w:val="32"/>
          <w:szCs w:val="32"/>
          <w:highlight w:val="none"/>
          <w:lang w:val="en-US" w:eastAsia="zh-CN" w:bidi="th"/>
        </w:rPr>
      </w:pPr>
      <w:r>
        <w:rPr>
          <w:rFonts w:hint="eastAsia" w:ascii="仿宋" w:hAnsi="仿宋" w:eastAsia="仿宋" w:cs="仿宋"/>
          <w:b/>
          <w:bCs/>
          <w:color w:val="auto"/>
          <w:kern w:val="2"/>
          <w:sz w:val="32"/>
          <w:szCs w:val="32"/>
          <w:highlight w:val="none"/>
          <w:lang w:val="en-US" w:eastAsia="zh-CN" w:bidi="th"/>
        </w:rPr>
        <w:t>（一）行业共性攻关项目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主要</w:t>
      </w:r>
      <w:r>
        <w:rPr>
          <w:rFonts w:hint="default" w:ascii="仿宋_GB2312" w:hAnsi="仿宋_GB2312" w:eastAsia="仿宋_GB2312" w:cs="仿宋_GB2312"/>
          <w:sz w:val="32"/>
          <w:szCs w:val="32"/>
          <w:lang w:val="en-US" w:eastAsia="zh-CN"/>
        </w:rPr>
        <w:t>面向高端环境健康装备、关键基础件（轴承）、汽车高端零部件、生命健康与新材料、智能家电</w:t>
      </w:r>
      <w:r>
        <w:rPr>
          <w:rFonts w:hint="eastAsia" w:ascii="仿宋_GB2312" w:hAnsi="仿宋_GB2312" w:eastAsia="仿宋_GB2312" w:cs="仿宋_GB2312"/>
          <w:sz w:val="32"/>
          <w:szCs w:val="32"/>
          <w:lang w:val="en-US" w:eastAsia="zh-CN"/>
        </w:rPr>
        <w:t>等</w:t>
      </w:r>
      <w:r>
        <w:rPr>
          <w:rFonts w:hint="default" w:ascii="仿宋_GB2312" w:hAnsi="仿宋_GB2312" w:eastAsia="仿宋_GB2312" w:cs="仿宋_GB2312"/>
          <w:sz w:val="32"/>
          <w:szCs w:val="32"/>
          <w:lang w:val="en-US" w:eastAsia="zh-CN"/>
        </w:rPr>
        <w:t>产业</w:t>
      </w:r>
      <w:r>
        <w:rPr>
          <w:rFonts w:hint="eastAsia" w:ascii="仿宋_GB2312" w:hAnsi="仿宋_GB2312" w:eastAsia="仿宋_GB2312" w:cs="仿宋_GB2312"/>
          <w:sz w:val="32"/>
          <w:szCs w:val="32"/>
          <w:lang w:val="en-US" w:eastAsia="zh-CN"/>
        </w:rPr>
        <w:t>领域</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鼓励</w:t>
      </w:r>
      <w:r>
        <w:rPr>
          <w:rFonts w:hint="default" w:ascii="仿宋_GB2312" w:hAnsi="仿宋_GB2312" w:eastAsia="仿宋_GB2312" w:cs="仿宋_GB2312"/>
          <w:sz w:val="32"/>
          <w:szCs w:val="32"/>
          <w:lang w:val="en-US" w:eastAsia="zh-CN"/>
        </w:rPr>
        <w:t>行业龙头</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骨干企业单独或联合高校、科研院所，瞄准产业关键节点，开展行业共性技术攻关，</w:t>
      </w:r>
      <w:r>
        <w:rPr>
          <w:rFonts w:hint="eastAsia" w:ascii="仿宋_GB2312" w:hAnsi="仿宋_GB2312" w:eastAsia="仿宋_GB2312" w:cs="仿宋_GB2312"/>
          <w:sz w:val="32"/>
          <w:szCs w:val="32"/>
          <w:lang w:val="en-US" w:eastAsia="zh-CN"/>
        </w:rPr>
        <w:t>实施重大技术成果转化，</w:t>
      </w:r>
      <w:r>
        <w:rPr>
          <w:rFonts w:hint="default" w:ascii="仿宋_GB2312" w:hAnsi="仿宋_GB2312" w:eastAsia="仿宋_GB2312" w:cs="仿宋_GB2312"/>
          <w:sz w:val="32"/>
          <w:szCs w:val="32"/>
          <w:lang w:val="en-US" w:eastAsia="zh-CN"/>
        </w:rPr>
        <w:t>助力产业转型升级</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3" w:firstLineChars="200"/>
        <w:jc w:val="left"/>
        <w:textAlignment w:val="auto"/>
        <w:rPr>
          <w:rFonts w:hint="default" w:ascii="仿宋" w:hAnsi="仿宋" w:eastAsia="仿宋" w:cs="仿宋"/>
          <w:b/>
          <w:bCs/>
          <w:color w:val="auto"/>
          <w:kern w:val="2"/>
          <w:sz w:val="32"/>
          <w:szCs w:val="32"/>
          <w:lang w:val="en-US" w:eastAsia="zh-CN" w:bidi="th"/>
        </w:rPr>
      </w:pPr>
      <w:r>
        <w:rPr>
          <w:rFonts w:hint="eastAsia" w:ascii="仿宋" w:hAnsi="仿宋" w:eastAsia="仿宋" w:cs="仿宋"/>
          <w:b/>
          <w:bCs/>
          <w:color w:val="auto"/>
          <w:kern w:val="2"/>
          <w:sz w:val="32"/>
          <w:szCs w:val="32"/>
          <w:lang w:val="en-US" w:eastAsia="zh-CN" w:bidi="th"/>
        </w:rPr>
        <w:t>（二）双碳安全环保专项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面向碳达峰碳中和、生态文明、安全生产等领域，聚焦提升双碳关键核心技术能力、提升生态环境质量、有效提升工业企业防范化解重大风险能力等，开展的关键共性技术研究和创新产品推广应用。</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3" w:firstLineChars="200"/>
        <w:jc w:val="left"/>
        <w:textAlignment w:val="auto"/>
        <w:rPr>
          <w:rFonts w:hint="eastAsia" w:ascii="仿宋" w:hAnsi="仿宋" w:eastAsia="仿宋" w:cs="仿宋"/>
          <w:b/>
          <w:bCs/>
          <w:color w:val="auto"/>
          <w:kern w:val="2"/>
          <w:sz w:val="32"/>
          <w:szCs w:val="32"/>
          <w:lang w:val="en-US" w:eastAsia="zh-CN" w:bidi="th"/>
        </w:rPr>
      </w:pPr>
      <w:r>
        <w:rPr>
          <w:rFonts w:hint="eastAsia" w:ascii="仿宋" w:hAnsi="仿宋" w:eastAsia="仿宋" w:cs="仿宋"/>
          <w:b/>
          <w:bCs/>
          <w:color w:val="auto"/>
          <w:kern w:val="2"/>
          <w:sz w:val="32"/>
          <w:szCs w:val="32"/>
          <w:lang w:val="en-US" w:eastAsia="zh-CN" w:bidi="th"/>
        </w:rPr>
        <w:t>（三）科技助推共富项目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面向农业“双非整治”“双强行动”、制造业全域产业治理，聚焦提升农民和低收入农户增收能力、提升农业机械化水平、提升低效块状行业等领域，开展的关键共性技术研究和创新产品推广应用。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b/>
          <w:bCs/>
          <w:color w:val="auto"/>
          <w:sz w:val="32"/>
          <w:szCs w:val="32"/>
          <w:lang w:val="en-US" w:eastAsia="zh-CN"/>
        </w:rPr>
      </w:pPr>
      <w:r>
        <w:rPr>
          <w:rFonts w:hint="eastAsia"/>
          <w:b/>
          <w:bCs/>
          <w:color w:val="auto"/>
          <w:sz w:val="32"/>
          <w:szCs w:val="32"/>
          <w:lang w:val="en-US" w:eastAsia="zh-CN"/>
        </w:rPr>
        <w:t>（四）市级科创项目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根据全市重点领域、重点产业的技术需求，面向科技型中小企业实施慈溪市本级科创项目。申报单位应同时符合以下条件：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1.申报项目应属于新材料、生命健康、高端装备等战略性新兴产业领域或《国家重点支持的高新技术领域》；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2.申报项目的研究内容和目标具有一定的创新性、先进性，研发投入100万元以上，项目完成后能够形成相关核心知识产权和销售收入；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3.申报单位应于2017年1月1日后注册成立，且已认定为科技型中小企业（含国家、省、宁波级）；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4.申报单位已申请或拥有软件著作权、实用新型专利、发明专利等其中一项及以上核心自主知识产权。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对符合上述条件的宁波市级以上创新创业大赛获奖企业，给予优先支持。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b/>
          <w:bCs/>
          <w:color w:val="auto"/>
          <w:sz w:val="32"/>
          <w:szCs w:val="32"/>
          <w:lang w:val="en-US" w:eastAsia="zh-CN"/>
        </w:rPr>
      </w:pPr>
      <w:r>
        <w:rPr>
          <w:rFonts w:hint="eastAsia"/>
          <w:b/>
          <w:bCs/>
          <w:color w:val="auto"/>
          <w:sz w:val="32"/>
          <w:szCs w:val="32"/>
          <w:lang w:val="en-US" w:eastAsia="zh-CN"/>
        </w:rPr>
        <w:t>（五）公益类科技项目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面向我市农业农村和社会民生发展需要，开展的公共性、社会性、具有明确应用方向与前景的技术研发及成果的推广应用。应同时符合以下条件：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项目主要负责人（项目组成员前3名）在研及申请市级科技计划项目数不超过2项（含），无逾期未提交验收申请的本级和宁波市级科技计划项目；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全面实行科研诚信承诺制度，因不良信用记录正在接受处罚的单位和个人不得申报本计划科技项目。</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Chars="200" w:right="0" w:rightChars="0"/>
        <w:jc w:val="left"/>
        <w:textAlignment w:val="auto"/>
        <w:rPr>
          <w:rFonts w:hint="eastAsia" w:ascii="仿宋" w:hAnsi="仿宋" w:eastAsia="仿宋" w:cs="仿宋"/>
          <w:b/>
          <w:bCs/>
          <w:color w:val="auto"/>
          <w:kern w:val="2"/>
          <w:sz w:val="32"/>
          <w:szCs w:val="32"/>
          <w:lang w:val="en-US" w:eastAsia="zh-CN" w:bidi="th"/>
        </w:rPr>
      </w:pPr>
      <w:r>
        <w:rPr>
          <w:rFonts w:hint="eastAsia" w:cs="仿宋"/>
          <w:b/>
          <w:bCs/>
          <w:color w:val="auto"/>
          <w:kern w:val="2"/>
          <w:sz w:val="32"/>
          <w:szCs w:val="32"/>
          <w:lang w:val="en-US" w:eastAsia="zh-CN" w:bidi="th"/>
        </w:rPr>
        <w:t>三、</w:t>
      </w:r>
      <w:r>
        <w:rPr>
          <w:rFonts w:hint="eastAsia" w:ascii="仿宋" w:hAnsi="仿宋" w:eastAsia="仿宋" w:cs="仿宋"/>
          <w:b/>
          <w:bCs/>
          <w:color w:val="auto"/>
          <w:kern w:val="2"/>
          <w:sz w:val="32"/>
          <w:szCs w:val="32"/>
          <w:lang w:val="en-US" w:eastAsia="zh-CN" w:bidi="th"/>
        </w:rPr>
        <w:t>补助标准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对当年列入行业共性攻关、双碳安全环保专项、科技助推共富的项目，给予每项最高100万元的奖励。首批资金按资助总额的30%比例拨付；项目通过中期检查后，第二批按资助总额的40%比例拨付；剩余资金待项目通过验收后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对列入市级科创项目给予每项10万元奖励；对列入市级公益类科技（农业农村类、社会发展类）项目给予每项最高10万元奖励；对列入市级公益类科技（医疗卫生类）项目给予每项最高3万元的奖励。首批资金按资助总额的60%比例拨付；剩余资金待项目通过验收后拨付。</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3" w:firstLineChars="200"/>
        <w:jc w:val="left"/>
        <w:textAlignment w:val="auto"/>
        <w:rPr>
          <w:rFonts w:hint="eastAsia" w:ascii="仿宋" w:hAnsi="仿宋" w:eastAsia="仿宋" w:cs="仿宋"/>
          <w:b/>
          <w:bCs/>
          <w:color w:val="auto"/>
          <w:kern w:val="2"/>
          <w:sz w:val="32"/>
          <w:szCs w:val="32"/>
          <w:lang w:val="en-US" w:eastAsia="zh-CN" w:bidi="th"/>
        </w:rPr>
      </w:pPr>
      <w:r>
        <w:rPr>
          <w:rFonts w:hint="eastAsia" w:ascii="仿宋" w:hAnsi="仿宋" w:eastAsia="仿宋" w:cs="仿宋"/>
          <w:b/>
          <w:bCs/>
          <w:color w:val="auto"/>
          <w:kern w:val="2"/>
          <w:sz w:val="32"/>
          <w:szCs w:val="32"/>
          <w:lang w:val="en-US" w:eastAsia="zh-CN" w:bidi="th"/>
        </w:rPr>
        <w:t>四、审核和兑现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行业共性攻关项目、双碳安全环保专项、科技助推共富项目实施“揭榜挂帅”，市科技局根据推动产业高质量发展要求，向社会征集亟需解决的重大技术攻关需求项目，经专家评审后形成申报指南，申报单位按申报指南进行申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1.慈溪产业应用技术研究院（以下简称“产研院”）入驻实体申报的行业共性攻关技术需求，由产研院推荐；其他单位申报的行业共性攻关需求，由产业创新服务综合体推荐；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2.市级以上企业创新联合体提交的共性技术攻关需求优先列入申报指南。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（二）其他市级科技项目由项目承担单位按申报通知要求，根据自身实际和科研计划在规定时间内提交的项目材料。项目承担单位相关要求和条件见各专项申报通知。</w:t>
      </w:r>
    </w:p>
    <w:p>
      <w:pPr>
        <w:ind w:firstLine="640" w:firstLineChars="200"/>
        <w:rPr>
          <w:rFonts w:hint="default"/>
          <w:lang w:val="en-US" w:eastAsia="zh-CN"/>
        </w:rPr>
      </w:pPr>
      <w:r>
        <w:rPr>
          <w:rFonts w:hint="eastAsia" w:ascii="仿宋_GB2312" w:hAnsi="仿宋_GB2312" w:eastAsia="仿宋_GB2312" w:cs="仿宋_GB2312"/>
          <w:sz w:val="32"/>
          <w:szCs w:val="32"/>
          <w:lang w:val="en-US" w:eastAsia="zh-CN"/>
        </w:rPr>
        <w:t>（三）项目立项实行专家评审与行政决策相结合的方式，初定立项名单经有关部门意见征询及网上7天公示无异议后，</w:t>
      </w:r>
      <w:r>
        <w:rPr>
          <w:rFonts w:hint="default" w:ascii="仿宋_GB2312" w:hAnsi="仿宋_GB2312" w:eastAsia="仿宋_GB2312" w:cs="仿宋_GB2312"/>
          <w:sz w:val="32"/>
          <w:szCs w:val="32"/>
          <w:lang w:val="en-US" w:eastAsia="zh-CN"/>
        </w:rPr>
        <w:t>市科技局、市财政局联合发文并拨付奖励资金至</w:t>
      </w:r>
      <w:r>
        <w:rPr>
          <w:rFonts w:hint="eastAsia" w:ascii="仿宋_GB2312" w:hAnsi="仿宋_GB2312" w:eastAsia="仿宋_GB2312" w:cs="仿宋_GB2312"/>
          <w:sz w:val="32"/>
          <w:szCs w:val="32"/>
          <w:lang w:val="en-US" w:eastAsia="zh-CN"/>
        </w:rPr>
        <w:t>相关</w:t>
      </w:r>
      <w:r>
        <w:rPr>
          <w:rFonts w:hint="default" w:ascii="仿宋_GB2312" w:hAnsi="仿宋_GB2312" w:eastAsia="仿宋_GB2312" w:cs="仿宋_GB2312"/>
          <w:sz w:val="32"/>
          <w:szCs w:val="32"/>
          <w:lang w:val="en-US" w:eastAsia="zh-CN"/>
        </w:rPr>
        <w:t>企业。</w:t>
      </w:r>
    </w:p>
    <w:sectPr>
      <w:footerReference r:id="rId3" w:type="default"/>
      <w:footerReference r:id="rId4" w:type="even"/>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tabs>
                              <w:tab w:val="center" w:pos="4153"/>
                              <w:tab w:val="right" w:pos="8306"/>
                            </w:tabs>
                            <w:jc w:val="right"/>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c17eWrgEAAEsD&#10;AAAOAAAAAAAAAAEAIAAAAB4BAABkcnMvZTJvRG9jLnhtbFBLBQYAAAAABgAGAFkBAAA+BQAAAAA=&#10;">
              <v:fill on="f" focussize="0,0"/>
              <v:stroke on="f"/>
              <v:imagedata o:title=""/>
              <o:lock v:ext="edit" aspectratio="f"/>
              <v:textbox inset="0mm,0mm,0mm,0mm" style="mso-fit-shape-to-text:t;">
                <w:txbxContent>
                  <w:p>
                    <w:pPr>
                      <w:tabs>
                        <w:tab w:val="center" w:pos="4153"/>
                        <w:tab w:val="right" w:pos="8306"/>
                      </w:tabs>
                      <w:jc w:val="right"/>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pPr>
      <w:tabs>
        <w:tab w:val="center" w:pos="4153"/>
        <w:tab w:val="right"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pPr>
    <w:r>
      <w:fldChar w:fldCharType="begin"/>
    </w:r>
    <w:r>
      <w:instrText xml:space="preserve"> PAGE   \* MERGEFORMAT </w:instrText>
    </w:r>
    <w:r>
      <w:fldChar w:fldCharType="separate"/>
    </w:r>
    <w:r>
      <w:rPr>
        <w:lang w:val="zh-CN"/>
      </w:rPr>
      <w:t>-</w:t>
    </w:r>
    <w:r>
      <w:t xml:space="preserve"> 2 -</w:t>
    </w:r>
    <w:r>
      <w:fldChar w:fldCharType="end"/>
    </w:r>
  </w:p>
  <w:p>
    <w:pPr>
      <w:tabs>
        <w:tab w:val="center" w:pos="4153"/>
        <w:tab w:val="right" w:pos="8306"/>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kOGM4ZWE0NTlkMDBlODU2NTFmNDBiNDhkMjUyZDEifQ=="/>
  </w:docVars>
  <w:rsids>
    <w:rsidRoot w:val="00AC63DD"/>
    <w:rsid w:val="000773B0"/>
    <w:rsid w:val="001300B1"/>
    <w:rsid w:val="00260FBA"/>
    <w:rsid w:val="003532F7"/>
    <w:rsid w:val="003F1EA2"/>
    <w:rsid w:val="004F1D60"/>
    <w:rsid w:val="00502F24"/>
    <w:rsid w:val="006C1A8B"/>
    <w:rsid w:val="006E7E6D"/>
    <w:rsid w:val="00760BDF"/>
    <w:rsid w:val="008F4123"/>
    <w:rsid w:val="00AC63DD"/>
    <w:rsid w:val="00BC013C"/>
    <w:rsid w:val="00D74F07"/>
    <w:rsid w:val="00F3372C"/>
    <w:rsid w:val="00FC422D"/>
    <w:rsid w:val="01A6798B"/>
    <w:rsid w:val="01FE24B8"/>
    <w:rsid w:val="0378153F"/>
    <w:rsid w:val="054D198A"/>
    <w:rsid w:val="062F4F05"/>
    <w:rsid w:val="063A10B5"/>
    <w:rsid w:val="06DC1C7F"/>
    <w:rsid w:val="06F226F8"/>
    <w:rsid w:val="076F0487"/>
    <w:rsid w:val="07EE4EA1"/>
    <w:rsid w:val="08703496"/>
    <w:rsid w:val="0A8257A0"/>
    <w:rsid w:val="0C1761BC"/>
    <w:rsid w:val="0C9053A6"/>
    <w:rsid w:val="0C926333"/>
    <w:rsid w:val="0F3009ED"/>
    <w:rsid w:val="1005590E"/>
    <w:rsid w:val="105B3572"/>
    <w:rsid w:val="11890C9F"/>
    <w:rsid w:val="11D05A33"/>
    <w:rsid w:val="12104913"/>
    <w:rsid w:val="128738E2"/>
    <w:rsid w:val="148F419B"/>
    <w:rsid w:val="14A96FB0"/>
    <w:rsid w:val="14B758D9"/>
    <w:rsid w:val="14C2372B"/>
    <w:rsid w:val="15115235"/>
    <w:rsid w:val="15821BF5"/>
    <w:rsid w:val="160D6C4A"/>
    <w:rsid w:val="16D07E42"/>
    <w:rsid w:val="16DA1832"/>
    <w:rsid w:val="17BA4E91"/>
    <w:rsid w:val="17FD641A"/>
    <w:rsid w:val="185451B5"/>
    <w:rsid w:val="18E3438F"/>
    <w:rsid w:val="19791D32"/>
    <w:rsid w:val="1A746081"/>
    <w:rsid w:val="1ACC0B83"/>
    <w:rsid w:val="1B9834EF"/>
    <w:rsid w:val="1D852847"/>
    <w:rsid w:val="1EA33D01"/>
    <w:rsid w:val="1FA570BE"/>
    <w:rsid w:val="205A31DE"/>
    <w:rsid w:val="205A5020"/>
    <w:rsid w:val="209A35C8"/>
    <w:rsid w:val="20BF4636"/>
    <w:rsid w:val="20E34993"/>
    <w:rsid w:val="22AA0234"/>
    <w:rsid w:val="2415168F"/>
    <w:rsid w:val="25982076"/>
    <w:rsid w:val="26BB501A"/>
    <w:rsid w:val="272A677C"/>
    <w:rsid w:val="27455AB1"/>
    <w:rsid w:val="28645F5E"/>
    <w:rsid w:val="29F55558"/>
    <w:rsid w:val="29F6768D"/>
    <w:rsid w:val="2A8C699E"/>
    <w:rsid w:val="2A9A49F5"/>
    <w:rsid w:val="2B0B1D22"/>
    <w:rsid w:val="2BF453BE"/>
    <w:rsid w:val="2D7D79B6"/>
    <w:rsid w:val="2DDE0AB1"/>
    <w:rsid w:val="2EA73902"/>
    <w:rsid w:val="2EDA0BDE"/>
    <w:rsid w:val="305E638F"/>
    <w:rsid w:val="30CD48FD"/>
    <w:rsid w:val="30D2026B"/>
    <w:rsid w:val="32ED6B11"/>
    <w:rsid w:val="33727E2A"/>
    <w:rsid w:val="34346562"/>
    <w:rsid w:val="35487DA3"/>
    <w:rsid w:val="360F36CE"/>
    <w:rsid w:val="385B0CC1"/>
    <w:rsid w:val="38ED2DBF"/>
    <w:rsid w:val="39F96873"/>
    <w:rsid w:val="3A7923BF"/>
    <w:rsid w:val="3BC266FF"/>
    <w:rsid w:val="3CD617BF"/>
    <w:rsid w:val="3DD645E3"/>
    <w:rsid w:val="4264317C"/>
    <w:rsid w:val="43F73CBC"/>
    <w:rsid w:val="469638A1"/>
    <w:rsid w:val="47FD66D3"/>
    <w:rsid w:val="480043B1"/>
    <w:rsid w:val="485B13D3"/>
    <w:rsid w:val="48785568"/>
    <w:rsid w:val="497958FB"/>
    <w:rsid w:val="49C03205"/>
    <w:rsid w:val="49CA7BE0"/>
    <w:rsid w:val="4C0269FC"/>
    <w:rsid w:val="4C571599"/>
    <w:rsid w:val="4C6E6D82"/>
    <w:rsid w:val="4E3A327B"/>
    <w:rsid w:val="4F06521E"/>
    <w:rsid w:val="50126746"/>
    <w:rsid w:val="5054211C"/>
    <w:rsid w:val="50B30047"/>
    <w:rsid w:val="50C20253"/>
    <w:rsid w:val="50C85092"/>
    <w:rsid w:val="51C676FC"/>
    <w:rsid w:val="51FA051C"/>
    <w:rsid w:val="52DE5EC9"/>
    <w:rsid w:val="55B87D41"/>
    <w:rsid w:val="56051FA0"/>
    <w:rsid w:val="56797C27"/>
    <w:rsid w:val="57505850"/>
    <w:rsid w:val="575F639B"/>
    <w:rsid w:val="5C221AFD"/>
    <w:rsid w:val="5C463522"/>
    <w:rsid w:val="5CAE4D4D"/>
    <w:rsid w:val="5CE46B1A"/>
    <w:rsid w:val="5D211FA6"/>
    <w:rsid w:val="5F1C355C"/>
    <w:rsid w:val="5F68774F"/>
    <w:rsid w:val="6075116F"/>
    <w:rsid w:val="60DA050C"/>
    <w:rsid w:val="61D366F2"/>
    <w:rsid w:val="63BC7D81"/>
    <w:rsid w:val="64D81419"/>
    <w:rsid w:val="66C736B5"/>
    <w:rsid w:val="66E30F07"/>
    <w:rsid w:val="67373D66"/>
    <w:rsid w:val="67512836"/>
    <w:rsid w:val="67C46758"/>
    <w:rsid w:val="697509FA"/>
    <w:rsid w:val="6A596ADD"/>
    <w:rsid w:val="6A684C63"/>
    <w:rsid w:val="6A9C7102"/>
    <w:rsid w:val="6B2E18F7"/>
    <w:rsid w:val="6B675AAD"/>
    <w:rsid w:val="6B6A57F0"/>
    <w:rsid w:val="6C1B764E"/>
    <w:rsid w:val="6C9309DC"/>
    <w:rsid w:val="6DE5110F"/>
    <w:rsid w:val="6ED73ECF"/>
    <w:rsid w:val="6F053D76"/>
    <w:rsid w:val="6F5C47E0"/>
    <w:rsid w:val="6F8D4874"/>
    <w:rsid w:val="713573B4"/>
    <w:rsid w:val="7148086A"/>
    <w:rsid w:val="71640C13"/>
    <w:rsid w:val="7287740B"/>
    <w:rsid w:val="73BA2A64"/>
    <w:rsid w:val="749970F7"/>
    <w:rsid w:val="75650EA0"/>
    <w:rsid w:val="75B55338"/>
    <w:rsid w:val="761B22A7"/>
    <w:rsid w:val="76966144"/>
    <w:rsid w:val="77104329"/>
    <w:rsid w:val="772B58B2"/>
    <w:rsid w:val="77CD6E51"/>
    <w:rsid w:val="798F45C2"/>
    <w:rsid w:val="79E81F27"/>
    <w:rsid w:val="7A52366A"/>
    <w:rsid w:val="7A545B1C"/>
    <w:rsid w:val="7AF0298B"/>
    <w:rsid w:val="7B1839EC"/>
    <w:rsid w:val="7BE44C8E"/>
    <w:rsid w:val="7C333A01"/>
    <w:rsid w:val="7D951B0C"/>
    <w:rsid w:val="7E4272A6"/>
    <w:rsid w:val="7F8B089E"/>
    <w:rsid w:val="BEEEF062"/>
    <w:rsid w:val="CDF7BDD1"/>
    <w:rsid w:val="EEF7062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仿宋" w:cs="宋体"/>
      <w:kern w:val="2"/>
      <w:sz w:val="32"/>
      <w:szCs w:val="21"/>
      <w:lang w:val="en-US" w:eastAsia="zh-CN" w:bidi="th-TH"/>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link w:val="11"/>
    <w:unhideWhenUsed/>
    <w:qFormat/>
    <w:uiPriority w:val="0"/>
    <w:pPr>
      <w:keepNext/>
      <w:keepLines/>
      <w:spacing w:before="260" w:beforeLines="0" w:beforeAutospacing="0" w:after="260" w:afterLines="0" w:afterAutospacing="0" w:line="413" w:lineRule="auto"/>
      <w:outlineLvl w:val="1"/>
    </w:pPr>
    <w:rPr>
      <w:rFonts w:ascii="黑体" w:hAnsi="黑体" w:eastAsia="黑体"/>
      <w:sz w:val="32"/>
    </w:rPr>
  </w:style>
  <w:style w:type="character" w:default="1" w:styleId="7">
    <w:name w:val="Default Paragraph Font"/>
    <w:semiHidden/>
    <w:qFormat/>
    <w:uiPriority w:val="0"/>
  </w:style>
  <w:style w:type="table" w:default="1" w:styleId="8">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4">
    <w:name w:val="Plain Text"/>
    <w:basedOn w:val="1"/>
    <w:qFormat/>
    <w:uiPriority w:val="0"/>
    <w:rPr>
      <w:rFonts w:ascii="宋体" w:hAnsi="Courier New"/>
    </w:rPr>
  </w:style>
  <w:style w:type="paragraph" w:styleId="5">
    <w:name w:val="Subtitle"/>
    <w:basedOn w:val="1"/>
    <w:next w:val="1"/>
    <w:link w:val="10"/>
    <w:qFormat/>
    <w:uiPriority w:val="0"/>
    <w:pPr>
      <w:spacing w:before="240" w:after="60" w:line="312" w:lineRule="auto"/>
      <w:ind w:firstLine="200" w:firstLineChars="200"/>
      <w:jc w:val="left"/>
      <w:outlineLvl w:val="1"/>
    </w:pPr>
    <w:rPr>
      <w:rFonts w:ascii="等线" w:hAnsi="等线" w:eastAsia="楷体" w:cs="Times New Roman"/>
      <w:b/>
      <w:bCs/>
      <w:kern w:val="28"/>
      <w:sz w:val="32"/>
      <w:szCs w:val="32"/>
    </w:rPr>
  </w:style>
  <w:style w:type="paragraph" w:styleId="6">
    <w:name w:val="Title"/>
    <w:basedOn w:val="1"/>
    <w:next w:val="1"/>
    <w:qFormat/>
    <w:uiPriority w:val="0"/>
    <w:pPr>
      <w:widowControl/>
      <w:spacing w:before="240" w:after="60"/>
      <w:jc w:val="center"/>
      <w:outlineLvl w:val="0"/>
    </w:pPr>
    <w:rPr>
      <w:rFonts w:ascii="等线 Light" w:hAnsi="等线 Light" w:eastAsia="华文中宋" w:cs="Times New Roman"/>
      <w:bCs/>
      <w:kern w:val="0"/>
      <w:sz w:val="44"/>
      <w:szCs w:val="4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0">
    <w:name w:val="副标题 字符"/>
    <w:basedOn w:val="7"/>
    <w:link w:val="5"/>
    <w:qFormat/>
    <w:uiPriority w:val="0"/>
    <w:rPr>
      <w:rFonts w:hint="eastAsia" w:ascii="等线" w:hAnsi="等线" w:eastAsia="楷体" w:cs="等线"/>
      <w:b/>
      <w:bCs/>
      <w:kern w:val="28"/>
      <w:sz w:val="32"/>
      <w:szCs w:val="32"/>
      <w:lang w:bidi="th"/>
    </w:rPr>
  </w:style>
  <w:style w:type="character" w:customStyle="1" w:styleId="11">
    <w:name w:val="标题 2 Char"/>
    <w:link w:val="3"/>
    <w:qFormat/>
    <w:uiPriority w:val="0"/>
    <w:rPr>
      <w:rFonts w:ascii="黑体" w:hAnsi="黑体" w:eastAsia="黑体"/>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20</Pages>
  <Words>6562</Words>
  <Characters>6755</Characters>
  <Lines>10</Lines>
  <Paragraphs>2</Paragraphs>
  <TotalTime>5</TotalTime>
  <ScaleCrop>false</ScaleCrop>
  <LinksUpToDate>false</LinksUpToDate>
  <CharactersWithSpaces>6829</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2022-04-29T15:19:00Z</dcterms:created>
  <dc:creator>徐彬</dc:creator>
  <cp:keywords>慈溪市科学技术局</cp:keywords>
  <cp:lastModifiedBy>Administrator</cp:lastModifiedBy>
  <cp:lastPrinted>2022-11-24T02:24:00Z</cp:lastPrinted>
  <dcterms:modified xsi:type="dcterms:W3CDTF">2022-11-26T09:34:29Z</dcterms:modified>
  <dc:title>关于印发慈溪市加快推进产业高质量发展科技专项实施细则的通知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0E6D2DB30D124046ACE40ECD0AA3D087</vt:lpwstr>
  </property>
  <property fmtid="{D5CDD505-2E9C-101B-9397-08002B2CF9AE}" pid="4" name="woTemplateTypoMode" linkTarget="0">
    <vt:lpwstr>web</vt:lpwstr>
  </property>
  <property fmtid="{D5CDD505-2E9C-101B-9397-08002B2CF9AE}" pid="5" name="woTemplate" linkTarget="0">
    <vt:i4>1</vt:i4>
  </property>
</Properties>
</file>