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w:t>
      </w:r>
      <w:r>
        <w:rPr>
          <w:rFonts w:hint="eastAsia" w:ascii="方正小标宋简体" w:hAnsi="方正小标宋简体" w:eastAsia="方正小标宋简体" w:cs="方正小标宋简体"/>
          <w:sz w:val="36"/>
          <w:szCs w:val="36"/>
        </w:rPr>
        <w:t>慈溪市园林草地定级和基准地价</w:t>
      </w:r>
      <w:r>
        <w:rPr>
          <w:rFonts w:hint="eastAsia" w:ascii="方正小标宋简体" w:hAnsi="方正小标宋简体" w:eastAsia="方正小标宋简体" w:cs="方正小标宋简体"/>
          <w:sz w:val="36"/>
          <w:szCs w:val="36"/>
          <w:lang w:val="en-US" w:eastAsia="zh-CN"/>
        </w:rPr>
        <w:t>制定项目成果（征求意见稿）》起草说明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一、起草背景</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sz w:val="32"/>
          <w:szCs w:val="32"/>
          <w:lang w:val="en-US" w:eastAsia="zh-CN"/>
        </w:rPr>
      </w:pPr>
      <w:r>
        <w:rPr>
          <w:rFonts w:hint="eastAsia" w:ascii="仿宋_GB2312" w:eastAsia="仿宋_GB2312"/>
          <w:sz w:val="32"/>
          <w:szCs w:val="32"/>
        </w:rPr>
        <w:t>根据中共中央办公厅、国务院办公厅《关于统筹推进自然资源资产产权制度改革的指导意见》《关于做好园地林地草地定级和基准地价制定有关工作的通知》（自然资办函〔2023〕399号）等文件关于“须建立健全自然资源资产分等定级价格评估制度和资产审核制度”等要求，</w:t>
      </w:r>
      <w:r>
        <w:rPr>
          <w:rFonts w:hint="eastAsia" w:ascii="仿宋_GB2312"/>
          <w:sz w:val="32"/>
          <w:szCs w:val="32"/>
          <w:lang w:val="en-US" w:eastAsia="zh-CN"/>
        </w:rPr>
        <w:t>我局</w:t>
      </w:r>
      <w:r>
        <w:rPr>
          <w:rFonts w:hint="eastAsia" w:ascii="仿宋_GB2312" w:eastAsia="仿宋_GB2312"/>
          <w:sz w:val="32"/>
          <w:szCs w:val="32"/>
        </w:rPr>
        <w:t>启动慈溪市园林草地分等定级和基准地价评估工作</w:t>
      </w:r>
      <w:r>
        <w:rPr>
          <w:rFonts w:hint="eastAsia" w:ascii="仿宋_GB2312"/>
          <w:sz w:val="32"/>
          <w:szCs w:val="32"/>
          <w:lang w:eastAsia="zh-CN"/>
        </w:rPr>
        <w:t>。</w:t>
      </w:r>
      <w:r>
        <w:rPr>
          <w:rFonts w:hint="eastAsia" w:ascii="仿宋_GB2312"/>
          <w:sz w:val="32"/>
          <w:szCs w:val="32"/>
          <w:lang w:val="en-US" w:eastAsia="zh-CN"/>
        </w:rPr>
        <w:t>编制园林草地定级和基准地价</w:t>
      </w:r>
      <w:r>
        <w:rPr>
          <w:rFonts w:hint="eastAsia" w:ascii="仿宋_GB2312"/>
          <w:sz w:val="32"/>
          <w:szCs w:val="32"/>
          <w:lang w:eastAsia="zh-CN"/>
        </w:rPr>
        <w:t>是</w:t>
      </w:r>
      <w:r>
        <w:rPr>
          <w:rFonts w:hint="eastAsia" w:ascii="仿宋_GB2312"/>
          <w:sz w:val="32"/>
          <w:szCs w:val="32"/>
          <w:lang w:val="en-US" w:eastAsia="zh-CN"/>
        </w:rPr>
        <w:t>完善自然资源资产分等定级价格评估制度的要求</w:t>
      </w:r>
      <w:r>
        <w:rPr>
          <w:rFonts w:hint="eastAsia" w:ascii="仿宋_GB2312"/>
          <w:sz w:val="32"/>
          <w:szCs w:val="32"/>
          <w:lang w:eastAsia="zh-CN"/>
        </w:rPr>
        <w:t>，</w:t>
      </w:r>
      <w:r>
        <w:rPr>
          <w:rFonts w:hint="eastAsia" w:ascii="仿宋_GB2312"/>
          <w:sz w:val="32"/>
          <w:szCs w:val="32"/>
          <w:lang w:val="en-US" w:eastAsia="zh-CN"/>
        </w:rPr>
        <w:t>也</w:t>
      </w:r>
      <w:r>
        <w:rPr>
          <w:rFonts w:hint="eastAsia" w:ascii="仿宋_GB2312"/>
          <w:sz w:val="32"/>
          <w:szCs w:val="32"/>
          <w:lang w:eastAsia="zh-CN"/>
        </w:rPr>
        <w:t>是夯实自然资源有偿使用、资产清查核算基础的要求，</w:t>
      </w:r>
      <w:r>
        <w:rPr>
          <w:rFonts w:hint="eastAsia" w:ascii="仿宋_GB2312"/>
          <w:sz w:val="32"/>
          <w:szCs w:val="32"/>
          <w:lang w:val="en-US" w:eastAsia="zh-CN"/>
        </w:rPr>
        <w:t>还</w:t>
      </w:r>
      <w:r>
        <w:rPr>
          <w:rFonts w:hint="eastAsia" w:ascii="仿宋_GB2312"/>
          <w:sz w:val="32"/>
          <w:szCs w:val="32"/>
          <w:lang w:eastAsia="zh-CN"/>
        </w:rPr>
        <w:t>是促进自然资源特别是园林草地资源合理利用的要求。有助于政府根据园林草地质量差异对资源进行优化配置，实现园林草地利用效益的有效发挥，</w:t>
      </w:r>
      <w:r>
        <w:rPr>
          <w:rFonts w:hint="eastAsia" w:ascii="仿宋_GB2312"/>
          <w:sz w:val="32"/>
          <w:szCs w:val="32"/>
          <w:lang w:val="en-US" w:eastAsia="zh-CN"/>
        </w:rPr>
        <w:t>故</w:t>
      </w:r>
      <w:r>
        <w:rPr>
          <w:rFonts w:hint="eastAsia" w:ascii="仿宋_GB2312"/>
          <w:sz w:val="32"/>
          <w:szCs w:val="32"/>
          <w:lang w:eastAsia="zh-CN"/>
        </w:rPr>
        <w:t>有必要制定本</w:t>
      </w:r>
      <w:r>
        <w:rPr>
          <w:rFonts w:hint="eastAsia" w:ascii="仿宋_GB2312"/>
          <w:sz w:val="32"/>
          <w:szCs w:val="32"/>
          <w:lang w:val="en-US" w:eastAsia="zh-CN"/>
        </w:rPr>
        <w:t>项目成果。</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政策制定</w:t>
      </w:r>
      <w:r>
        <w:rPr>
          <w:rFonts w:hint="eastAsia" w:ascii="黑体" w:hAnsi="黑体" w:eastAsia="黑体" w:cs="黑体"/>
          <w:b w:val="0"/>
          <w:bCs w:val="0"/>
          <w:sz w:val="32"/>
          <w:szCs w:val="32"/>
        </w:rPr>
        <w:t>依据</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1.</w:t>
      </w:r>
      <w:r>
        <w:rPr>
          <w:rFonts w:hint="eastAsia" w:ascii="仿宋_GB2312" w:eastAsia="仿宋_GB2312"/>
          <w:sz w:val="32"/>
          <w:szCs w:val="32"/>
        </w:rPr>
        <w:t>《中华人民共和国民法典》（2020年5月28日第十三届全国人民代表大会第三次会议通过，自2021年1月1日起施行）；</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2.</w:t>
      </w:r>
      <w:r>
        <w:rPr>
          <w:rFonts w:hint="eastAsia" w:ascii="仿宋_GB2312" w:eastAsia="仿宋_GB2312"/>
          <w:sz w:val="32"/>
          <w:szCs w:val="32"/>
        </w:rPr>
        <w:t>《中华人民共和国土地管理法》（中华人民共和国主席令第三十二号，2019年8月26日第十三届全国人民代表大会常务委员会第十二次会议《关于修改〈中华人民共和国土地管理法〉、〈中华人民共和国城市房地产管理法〉的决定》第三次修正）；</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3.</w:t>
      </w:r>
      <w:r>
        <w:rPr>
          <w:rFonts w:hint="eastAsia" w:ascii="仿宋_GB2312" w:eastAsia="仿宋_GB2312"/>
          <w:sz w:val="32"/>
          <w:szCs w:val="32"/>
        </w:rPr>
        <w:t>《中华人民共和国农村土地承包法》（2019年1月1日施行）；</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4.</w:t>
      </w:r>
      <w:r>
        <w:rPr>
          <w:rFonts w:hint="eastAsia" w:ascii="仿宋_GB2312" w:eastAsia="仿宋_GB2312"/>
          <w:sz w:val="32"/>
          <w:szCs w:val="32"/>
        </w:rPr>
        <w:t>《中华人民共和国农村土地经营权流转管理办法》（中华人民共和国农业农村部令2021年第1号，农业农村部2021年第1次常务会议审议通过，2021年3月1日起施行）；</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5.</w:t>
      </w:r>
      <w:r>
        <w:rPr>
          <w:rFonts w:hint="eastAsia" w:ascii="仿宋_GB2312" w:eastAsia="仿宋_GB2312"/>
          <w:sz w:val="32"/>
          <w:szCs w:val="32"/>
        </w:rPr>
        <w:t>《自然资源部办公厅关于加强公示地价体系建设和管理有关问题的通知》（国土资厅发〔2017〕27号）；</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6.</w:t>
      </w:r>
      <w:r>
        <w:rPr>
          <w:rFonts w:hint="eastAsia" w:ascii="仿宋_GB2312" w:eastAsia="仿宋_GB2312"/>
          <w:sz w:val="32"/>
          <w:szCs w:val="32"/>
        </w:rPr>
        <w:t>自然资源部办公厅《关于做好2022年度自然资源评价评估工作的通知》（自然资办发〔2022〕13号）；</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7.</w:t>
      </w:r>
      <w:r>
        <w:rPr>
          <w:rFonts w:hint="eastAsia" w:ascii="仿宋_GB2312" w:eastAsia="仿宋_GB2312"/>
          <w:sz w:val="32"/>
          <w:szCs w:val="32"/>
        </w:rPr>
        <w:t>浙江省自然资源厅《浙江省自然资源厅关于做好2022年度自然资源评价评估工作的通知》(浙自然资厅函〔2022〕897号)；</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rPr>
      </w:pPr>
      <w:r>
        <w:rPr>
          <w:rFonts w:hint="eastAsia" w:ascii="仿宋_GB2312"/>
          <w:sz w:val="32"/>
          <w:szCs w:val="32"/>
          <w:lang w:val="en-US" w:eastAsia="zh-CN"/>
        </w:rPr>
        <w:t>8.</w:t>
      </w:r>
      <w:r>
        <w:rPr>
          <w:rFonts w:hint="eastAsia" w:ascii="仿宋_GB2312" w:eastAsia="仿宋_GB2312"/>
          <w:sz w:val="32"/>
          <w:szCs w:val="32"/>
        </w:rPr>
        <w:t>自然资源部办公厅《关于做好园地林地草地定级和基准地价制定有关工作的通知》（自然资办函〔2023〕399号）；</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eastAsia="仿宋_GB2312"/>
          <w:sz w:val="32"/>
          <w:szCs w:val="32"/>
          <w:lang w:eastAsia="zh-CN"/>
        </w:rPr>
      </w:pPr>
      <w:r>
        <w:rPr>
          <w:rFonts w:hint="eastAsia" w:ascii="仿宋_GB2312"/>
          <w:sz w:val="32"/>
          <w:szCs w:val="32"/>
          <w:lang w:val="en-US" w:eastAsia="zh-CN"/>
        </w:rPr>
        <w:t>9.</w:t>
      </w:r>
      <w:r>
        <w:rPr>
          <w:rFonts w:hint="eastAsia" w:ascii="仿宋_GB2312" w:eastAsia="仿宋_GB2312"/>
          <w:sz w:val="32"/>
          <w:szCs w:val="32"/>
        </w:rPr>
        <w:t>浙江省自然资源厅《浙江省自然资源厅转发&lt;自然资源部办公厅关于做好园地林地草地定级和基准地价制定有关工作的通知&gt;的通知》（浙自然资厅函〔2023〕270号）</w:t>
      </w:r>
      <w:r>
        <w:rPr>
          <w:rFonts w:hint="eastAsia" w:ascii="仿宋_GB2312"/>
          <w:sz w:val="32"/>
          <w:szCs w:val="32"/>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三、主要内容</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eastAsia" w:ascii="仿宋_GB2312"/>
          <w:sz w:val="32"/>
          <w:szCs w:val="32"/>
          <w:lang w:val="en-US" w:eastAsia="zh-CN"/>
        </w:rPr>
      </w:pPr>
      <w:r>
        <w:rPr>
          <w:rFonts w:hint="eastAsia" w:ascii="仿宋_GB2312" w:eastAsia="仿宋_GB2312"/>
          <w:sz w:val="32"/>
          <w:szCs w:val="32"/>
        </w:rPr>
        <w:t>《慈溪市园林草地定级和基准地价制定项目成果（征求意见稿）》</w:t>
      </w:r>
      <w:r>
        <w:rPr>
          <w:rFonts w:hint="eastAsia" w:ascii="仿宋_GB2312"/>
          <w:sz w:val="32"/>
          <w:szCs w:val="32"/>
          <w:lang w:val="en-US" w:eastAsia="zh-CN"/>
        </w:rPr>
        <w:t>主要分为七个部分，具体包含项目背景、项目意义、工作依据、评估范围与对象、定级成果、基准地价成果和基准地价修正体系。</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textAlignment w:val="auto"/>
        <w:rPr>
          <w:rFonts w:hint="eastAsia" w:ascii="仿宋_GB2312"/>
          <w:sz w:val="32"/>
          <w:szCs w:val="32"/>
          <w:lang w:val="en-US" w:eastAsia="zh-CN"/>
        </w:rPr>
      </w:pPr>
      <w:r>
        <w:rPr>
          <w:rFonts w:hint="eastAsia" w:ascii="仿宋_GB2312"/>
          <w:sz w:val="32"/>
          <w:szCs w:val="32"/>
          <w:lang w:val="en-US" w:eastAsia="zh-CN"/>
        </w:rPr>
        <w:t>项目背景。为深入贯彻落实党中央、国务院决策部署，完善自然资源资产分等定级价格评估制度，根据《自然资源部办公厅关于做好2022年度自然资源价格评估工作的通知》(自然资办发〔2022〕13号)等文件要求，采取“省厅统一组织、市县具体实施，上下协同推进、同步启动定级”的工作模式，切实做好园林草地分等定级工作，在此基础上建立园林草地政府公示价格体系。</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textAlignment w:val="auto"/>
        <w:rPr>
          <w:rFonts w:hint="eastAsia" w:ascii="仿宋_GB2312"/>
          <w:sz w:val="32"/>
          <w:szCs w:val="32"/>
          <w:lang w:val="en-US" w:eastAsia="zh-CN"/>
        </w:rPr>
      </w:pPr>
      <w:r>
        <w:rPr>
          <w:rFonts w:hint="eastAsia" w:ascii="仿宋_GB2312"/>
          <w:sz w:val="32"/>
          <w:szCs w:val="32"/>
          <w:lang w:val="en-US" w:eastAsia="zh-CN"/>
        </w:rPr>
        <w:t>项目意义。通过园林草地基准地价评估，综合评价园林草地质量及分布状况，建立政府公示价格体系，可以显化园林草地资源资产质量和价值，直接服务于自然资源有偿使用、资产清查核算等工作，有助于加强自然资源保护与合理开发利用，促进生态产品价值实现，推进自然资源</w:t>
      </w:r>
    </w:p>
    <w:p>
      <w:pPr>
        <w:pStyle w:val="2"/>
        <w:keepNext w:val="0"/>
        <w:keepLines w:val="0"/>
        <w:pageBreakBefore w:val="0"/>
        <w:numPr>
          <w:numId w:val="0"/>
        </w:numPr>
        <w:kinsoku/>
        <w:wordWrap/>
        <w:overflowPunct/>
        <w:topLinePunct w:val="0"/>
        <w:autoSpaceDE/>
        <w:autoSpaceDN/>
        <w:bidi w:val="0"/>
        <w:adjustRightInd/>
        <w:snapToGrid/>
        <w:spacing w:line="520" w:lineRule="exact"/>
        <w:textAlignment w:val="auto"/>
        <w:rPr>
          <w:rFonts w:hint="eastAsia" w:ascii="仿宋_GB2312"/>
          <w:sz w:val="32"/>
          <w:szCs w:val="32"/>
          <w:lang w:val="en-US" w:eastAsia="zh-CN"/>
        </w:rPr>
      </w:pPr>
      <w:r>
        <w:rPr>
          <w:rFonts w:hint="eastAsia" w:ascii="仿宋_GB2312"/>
          <w:sz w:val="32"/>
          <w:szCs w:val="32"/>
          <w:lang w:val="en-US" w:eastAsia="zh-CN"/>
        </w:rPr>
        <w:t>管理向数量、质量与生态管护并重转变。</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sz w:val="32"/>
          <w:szCs w:val="32"/>
          <w:lang w:val="en-US" w:eastAsia="zh-CN"/>
        </w:rPr>
      </w:pPr>
      <w:r>
        <w:rPr>
          <w:rFonts w:hint="eastAsia" w:ascii="仿宋_GB2312"/>
          <w:sz w:val="32"/>
          <w:szCs w:val="32"/>
          <w:lang w:val="en-US" w:eastAsia="zh-CN"/>
        </w:rPr>
        <w:t>工作依据。包括政策依据、技术依据和其他工作依据。如《农用地估价规程》（GB/T 28406-2012）《自然资源价格评估通则》（TD/T 1061-2021）《园地分等定级规程》（TD/T1071-2022)等。</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default" w:ascii="仿宋_GB2312"/>
          <w:sz w:val="32"/>
          <w:szCs w:val="32"/>
          <w:lang w:val="en-US" w:eastAsia="zh-CN"/>
        </w:rPr>
      </w:pPr>
      <w:r>
        <w:rPr>
          <w:rFonts w:hint="eastAsia" w:ascii="仿宋_GB2312"/>
          <w:sz w:val="32"/>
          <w:szCs w:val="32"/>
          <w:lang w:val="en-US" w:eastAsia="zh-CN"/>
        </w:rPr>
        <w:t>评估范围与对象。本次园林草地定级与基准地价制定覆盖范围为慈溪市所辖行政区范围（包含前湾新区直管区），评估对象是所辖行政区范围内 2021 年度国土变更调查确定的现状园地、林地和草地。</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default" w:ascii="仿宋_GB2312"/>
          <w:sz w:val="32"/>
          <w:szCs w:val="32"/>
          <w:lang w:val="en-US" w:eastAsia="zh-CN"/>
        </w:rPr>
      </w:pPr>
      <w:r>
        <w:rPr>
          <w:rFonts w:hint="eastAsia" w:ascii="仿宋_GB2312"/>
          <w:sz w:val="32"/>
          <w:szCs w:val="32"/>
          <w:lang w:val="en-US" w:eastAsia="zh-CN"/>
        </w:rPr>
        <w:t>定级成果。包含园林草地各级别面积比例、各镇（街道）级别分布情况和级别图。</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default" w:ascii="仿宋_GB2312"/>
          <w:sz w:val="32"/>
          <w:szCs w:val="32"/>
          <w:lang w:val="en-US" w:eastAsia="zh-CN"/>
        </w:rPr>
      </w:pPr>
      <w:r>
        <w:rPr>
          <w:rFonts w:hint="eastAsia" w:ascii="仿宋_GB2312"/>
          <w:sz w:val="32"/>
          <w:szCs w:val="32"/>
          <w:lang w:val="en-US" w:eastAsia="zh-CN"/>
        </w:rPr>
        <w:t>基准地价成果。包含园林草地基准地价内涵、基准地价成果及定级与基准地价图。</w:t>
      </w:r>
    </w:p>
    <w:p>
      <w:pPr>
        <w:pStyle w:val="2"/>
        <w:keepNext w:val="0"/>
        <w:keepLines w:val="0"/>
        <w:pageBreakBefore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default" w:ascii="仿宋_GB2312"/>
          <w:sz w:val="32"/>
          <w:szCs w:val="32"/>
          <w:lang w:val="en-US" w:eastAsia="zh-CN"/>
        </w:rPr>
      </w:pPr>
      <w:r>
        <w:rPr>
          <w:rFonts w:hint="default" w:ascii="仿宋_GB2312"/>
          <w:sz w:val="32"/>
          <w:szCs w:val="32"/>
          <w:lang w:val="en-US" w:eastAsia="zh-CN"/>
        </w:rPr>
        <w:t>基准地价修正体系</w:t>
      </w:r>
      <w:r>
        <w:rPr>
          <w:rFonts w:hint="eastAsia" w:ascii="仿宋_GB2312"/>
          <w:sz w:val="32"/>
          <w:szCs w:val="32"/>
          <w:lang w:val="en-US" w:eastAsia="zh-CN"/>
        </w:rPr>
        <w:t>。包含园林草地基准地价修正因素指标说明表，写明定级修正体系、土地还原利率等技术指标。</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627" w:firstLineChars="196"/>
        <w:jc w:val="both"/>
        <w:textAlignment w:val="auto"/>
        <w:rPr>
          <w:rFonts w:ascii="黑体" w:hAnsi="黑体" w:eastAsia="黑体" w:cs="仿宋_GB2312"/>
          <w:b w:val="0"/>
          <w:bCs w:val="0"/>
          <w:sz w:val="32"/>
          <w:szCs w:val="32"/>
        </w:rPr>
      </w:pPr>
      <w:r>
        <w:rPr>
          <w:rFonts w:hint="eastAsia" w:ascii="黑体" w:hAnsi="黑体" w:eastAsia="黑体" w:cs="仿宋_GB2312"/>
          <w:b w:val="0"/>
          <w:bCs w:val="0"/>
          <w:sz w:val="32"/>
          <w:szCs w:val="32"/>
        </w:rPr>
        <w:t>四</w:t>
      </w:r>
      <w:r>
        <w:rPr>
          <w:rFonts w:ascii="黑体" w:hAnsi="黑体" w:eastAsia="黑体" w:cs="仿宋_GB2312"/>
          <w:b w:val="0"/>
          <w:bCs w:val="0"/>
          <w:sz w:val="32"/>
          <w:szCs w:val="32"/>
        </w:rPr>
        <w:t>、</w:t>
      </w:r>
      <w:r>
        <w:rPr>
          <w:rFonts w:hint="eastAsia" w:ascii="黑体" w:hAnsi="黑体" w:eastAsia="黑体" w:cs="仿宋_GB2312"/>
          <w:b w:val="0"/>
          <w:bCs w:val="0"/>
          <w:sz w:val="32"/>
          <w:szCs w:val="32"/>
        </w:rPr>
        <w:t>文件实施日期及解释单位</w:t>
      </w:r>
    </w:p>
    <w:p>
      <w:pPr>
        <w:keepNext w:val="0"/>
        <w:keepLines w:val="0"/>
        <w:pageBreakBefore w:val="0"/>
        <w:kinsoku/>
        <w:wordWrap/>
        <w:overflowPunct/>
        <w:topLinePunct w:val="0"/>
        <w:autoSpaceDE/>
        <w:autoSpaceDN/>
        <w:bidi w:val="0"/>
        <w:adjustRightInd/>
        <w:snapToGrid/>
        <w:spacing w:line="520" w:lineRule="exact"/>
        <w:textAlignment w:val="auto"/>
      </w:pPr>
      <w:r>
        <w:rPr>
          <w:rFonts w:hint="eastAsia" w:ascii="仿宋" w:hAnsi="仿宋" w:eastAsia="仿宋" w:cs="仿宋_GB2312"/>
          <w:sz w:val="32"/>
          <w:szCs w:val="32"/>
        </w:rPr>
        <w:t>该文件</w:t>
      </w:r>
      <w:r>
        <w:rPr>
          <w:rFonts w:hint="eastAsia" w:ascii="仿宋" w:hAnsi="仿宋" w:eastAsia="仿宋" w:cs="仿宋_GB2312"/>
          <w:sz w:val="32"/>
          <w:szCs w:val="32"/>
          <w:lang w:eastAsia="zh-CN"/>
        </w:rPr>
        <w:t>自</w:t>
      </w:r>
      <w:r>
        <w:rPr>
          <w:rFonts w:hint="eastAsia" w:ascii="仿宋" w:hAnsi="仿宋" w:eastAsia="仿宋" w:cs="仿宋_GB2312"/>
          <w:sz w:val="32"/>
          <w:szCs w:val="32"/>
          <w:lang w:val="en-US" w:eastAsia="zh-CN"/>
        </w:rPr>
        <w:t>发布</w:t>
      </w:r>
      <w:r>
        <w:rPr>
          <w:rFonts w:hint="eastAsia" w:ascii="仿宋" w:hAnsi="仿宋" w:eastAsia="仿宋" w:cs="仿宋_GB2312"/>
          <w:sz w:val="32"/>
          <w:szCs w:val="32"/>
          <w:lang w:eastAsia="zh-CN"/>
        </w:rPr>
        <w:t>之日后30日起</w:t>
      </w:r>
      <w:r>
        <w:rPr>
          <w:rFonts w:hint="eastAsia" w:ascii="仿宋" w:hAnsi="仿宋" w:eastAsia="仿宋" w:cs="仿宋_GB2312"/>
          <w:sz w:val="32"/>
          <w:szCs w:val="32"/>
        </w:rPr>
        <w:t>施行，由慈溪市</w:t>
      </w:r>
      <w:r>
        <w:rPr>
          <w:rFonts w:hint="eastAsia" w:ascii="仿宋" w:hAnsi="仿宋" w:eastAsia="仿宋" w:cs="仿宋_GB2312"/>
          <w:sz w:val="32"/>
          <w:szCs w:val="32"/>
          <w:lang w:val="en-US" w:eastAsia="zh-CN"/>
        </w:rPr>
        <w:t>自然资源和规划局</w:t>
      </w:r>
      <w:r>
        <w:rPr>
          <w:rFonts w:hint="eastAsia" w:ascii="仿宋" w:hAnsi="仿宋" w:eastAsia="仿宋" w:cs="仿宋_GB2312"/>
          <w:sz w:val="32"/>
          <w:szCs w:val="32"/>
        </w:rPr>
        <w:t>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78D12"/>
    <w:multiLevelType w:val="singleLevel"/>
    <w:tmpl w:val="12778D12"/>
    <w:lvl w:ilvl="0" w:tentative="0">
      <w:start w:val="1"/>
      <w:numFmt w:val="chineseCounting"/>
      <w:suff w:val="nothing"/>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4A59D2"/>
    <w:rsid w:val="014A59D2"/>
    <w:rsid w:val="022850DC"/>
    <w:rsid w:val="077D4ECB"/>
    <w:rsid w:val="700C0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9" w:lineRule="exact"/>
      <w:ind w:firstLine="880" w:firstLineChars="200"/>
      <w:jc w:val="both"/>
    </w:pPr>
    <w:rPr>
      <w:rFonts w:ascii="Calibri" w:hAnsi="Calibri" w:eastAsia="仿宋_GB2312" w:cs="Times New Roman"/>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公1"/>
    <w:basedOn w:val="1"/>
    <w:qFormat/>
    <w:uiPriority w:val="99"/>
    <w:pPr>
      <w:ind w:firstLine="200" w:firstLineChars="200"/>
    </w:pPr>
  </w:style>
  <w:style w:type="paragraph" w:styleId="3">
    <w:name w:val="Normal (Web)"/>
    <w:basedOn w:val="1"/>
    <w:unhideWhenUsed/>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2024-11-29T01:04:00Z</dcterms:created>
  <dc:creator>A9</dc:creator>
  <cp:lastModifiedBy>A9</cp:lastModifiedBy>
  <dcterms:modified xsi:type="dcterms:W3CDTF">2024-11-29T02:32:14Z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