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0" w:firstLineChars="0"/>
        <w:jc w:val="left"/>
        <w:textAlignment w:val="auto"/>
        <w:rPr>
          <w:rFonts w:hint="eastAsia" w:ascii="黑体" w:hAnsi="黑体" w:eastAsia="黑体" w:cs="黑体"/>
          <w:sz w:val="32"/>
          <w:szCs w:val="32"/>
          <w:lang w:eastAsia="zh-CN"/>
        </w:rPr>
      </w:pPr>
      <w:r>
        <w:rPr>
          <w:rFonts w:hint="eastAsia" w:ascii="黑体" w:hAnsi="黑体" w:eastAsia="黑体" w:cs="黑体"/>
          <w:color w:val="000000"/>
          <w:spacing w:val="0"/>
          <w:w w:val="100"/>
          <w:position w:val="0"/>
          <w:sz w:val="32"/>
          <w:szCs w:val="32"/>
        </w:rPr>
        <w:t>附件</w:t>
      </w:r>
      <w:r>
        <w:rPr>
          <w:rFonts w:hint="eastAsia" w:cs="黑体"/>
          <w:color w:val="000000"/>
          <w:spacing w:val="0"/>
          <w:w w:val="100"/>
          <w:position w:val="0"/>
          <w:sz w:val="32"/>
          <w:szCs w:val="32"/>
          <w:lang w:val="en-US" w:eastAsia="zh-CN"/>
        </w:rPr>
        <w:t>1</w:t>
      </w:r>
    </w:p>
    <w:p>
      <w:pPr>
        <w:pStyle w:val="11"/>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“迎亚运”市容环境全域整治提升行动任务清单</w:t>
      </w:r>
    </w:p>
    <w:tbl>
      <w:tblPr>
        <w:tblStyle w:val="4"/>
        <w:tblW w:w="0" w:type="auto"/>
        <w:jc w:val="center"/>
        <w:tblLayout w:type="fixed"/>
        <w:tblCellMar>
          <w:top w:w="0" w:type="dxa"/>
          <w:left w:w="10" w:type="dxa"/>
          <w:bottom w:w="0" w:type="dxa"/>
          <w:right w:w="10" w:type="dxa"/>
        </w:tblCellMar>
      </w:tblPr>
      <w:tblGrid>
        <w:gridCol w:w="710"/>
        <w:gridCol w:w="714"/>
        <w:gridCol w:w="2262"/>
        <w:gridCol w:w="5102"/>
        <w:gridCol w:w="1416"/>
        <w:gridCol w:w="1277"/>
        <w:gridCol w:w="1421"/>
        <w:gridCol w:w="1786"/>
      </w:tblGrid>
      <w:tr>
        <w:tblPrEx>
          <w:tblCellMar>
            <w:top w:w="0" w:type="dxa"/>
            <w:left w:w="10" w:type="dxa"/>
            <w:bottom w:w="0" w:type="dxa"/>
            <w:right w:w="10" w:type="dxa"/>
          </w:tblCellMar>
        </w:tblPrEx>
        <w:trPr>
          <w:trHeight w:val="322" w:hRule="exact"/>
          <w:jc w:val="center"/>
        </w:trPr>
        <w:tc>
          <w:tcPr>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rPr>
            </w:pPr>
            <w:r>
              <w:rPr>
                <w:rFonts w:hint="eastAsia" w:ascii="仿宋_GB2312" w:hAnsi="仿宋_GB2312" w:eastAsia="仿宋_GB2312" w:cs="仿宋_GB2312"/>
                <w:b/>
                <w:bCs/>
                <w:color w:val="000000"/>
                <w:spacing w:val="0"/>
                <w:w w:val="100"/>
                <w:position w:val="0"/>
                <w:sz w:val="20"/>
                <w:szCs w:val="20"/>
              </w:rPr>
              <w:t>序号</w:t>
            </w:r>
          </w:p>
        </w:tc>
        <w:tc>
          <w:tcPr>
            <w:gridSpan w:val="2"/>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2" w:firstLineChars="200"/>
              <w:jc w:val="center"/>
              <w:textAlignment w:val="auto"/>
              <w:rPr>
                <w:rFonts w:hint="eastAsia" w:ascii="仿宋_GB2312" w:hAnsi="仿宋_GB2312" w:eastAsia="仿宋_GB2312" w:cs="仿宋_GB2312"/>
                <w:sz w:val="20"/>
                <w:szCs w:val="20"/>
              </w:rPr>
            </w:pPr>
            <w:r>
              <w:rPr>
                <w:rFonts w:hint="eastAsia" w:ascii="仿宋_GB2312" w:hAnsi="仿宋_GB2312" w:eastAsia="仿宋_GB2312" w:cs="仿宋_GB2312"/>
                <w:b/>
                <w:bCs/>
                <w:color w:val="000000"/>
                <w:spacing w:val="0"/>
                <w:w w:val="100"/>
                <w:position w:val="0"/>
                <w:sz w:val="20"/>
                <w:szCs w:val="20"/>
              </w:rPr>
              <w:t>任务内容</w:t>
            </w:r>
          </w:p>
        </w:tc>
        <w:tc>
          <w:tcPr>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2" w:firstLineChars="200"/>
              <w:jc w:val="center"/>
              <w:textAlignment w:val="auto"/>
              <w:rPr>
                <w:rFonts w:hint="eastAsia" w:ascii="仿宋_GB2312" w:hAnsi="仿宋_GB2312" w:eastAsia="仿宋_GB2312" w:cs="仿宋_GB2312"/>
                <w:sz w:val="20"/>
                <w:szCs w:val="20"/>
              </w:rPr>
            </w:pPr>
            <w:r>
              <w:rPr>
                <w:rFonts w:hint="eastAsia" w:ascii="仿宋_GB2312" w:hAnsi="仿宋_GB2312" w:eastAsia="仿宋_GB2312" w:cs="仿宋_GB2312"/>
                <w:b/>
                <w:bCs/>
                <w:color w:val="000000"/>
                <w:spacing w:val="0"/>
                <w:w w:val="100"/>
                <w:position w:val="0"/>
                <w:sz w:val="20"/>
                <w:szCs w:val="20"/>
              </w:rPr>
              <w:t>标准要求</w:t>
            </w:r>
          </w:p>
        </w:tc>
        <w:tc>
          <w:tcPr>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rPr>
            </w:pPr>
            <w:r>
              <w:rPr>
                <w:rFonts w:hint="eastAsia" w:ascii="仿宋_GB2312" w:hAnsi="仿宋_GB2312" w:eastAsia="仿宋_GB2312" w:cs="仿宋_GB2312"/>
                <w:b/>
                <w:bCs/>
                <w:color w:val="000000"/>
                <w:spacing w:val="0"/>
                <w:w w:val="100"/>
                <w:position w:val="0"/>
                <w:sz w:val="20"/>
                <w:szCs w:val="20"/>
              </w:rPr>
              <w:t>完成时间</w:t>
            </w:r>
          </w:p>
        </w:tc>
        <w:tc>
          <w:tcPr>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firstLine="201" w:firstLineChars="100"/>
              <w:jc w:val="both"/>
              <w:textAlignment w:val="auto"/>
              <w:rPr>
                <w:rFonts w:hint="eastAsia" w:ascii="仿宋_GB2312" w:hAnsi="仿宋_GB2312" w:eastAsia="仿宋_GB2312" w:cs="仿宋_GB2312"/>
                <w:sz w:val="20"/>
                <w:szCs w:val="20"/>
              </w:rPr>
            </w:pPr>
            <w:r>
              <w:rPr>
                <w:rFonts w:hint="eastAsia" w:ascii="仿宋_GB2312" w:hAnsi="仿宋_GB2312" w:eastAsia="仿宋_GB2312" w:cs="仿宋_GB2312"/>
                <w:b/>
                <w:bCs/>
                <w:color w:val="000000"/>
                <w:spacing w:val="0"/>
                <w:w w:val="100"/>
                <w:position w:val="0"/>
                <w:sz w:val="20"/>
                <w:szCs w:val="20"/>
              </w:rPr>
              <w:t>分管领导</w:t>
            </w:r>
          </w:p>
        </w:tc>
        <w:tc>
          <w:tcPr>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firstLine="201" w:firstLineChars="100"/>
              <w:jc w:val="both"/>
              <w:textAlignment w:val="auto"/>
              <w:rPr>
                <w:rFonts w:hint="eastAsia" w:ascii="仿宋_GB2312" w:hAnsi="仿宋_GB2312" w:eastAsia="仿宋_GB2312" w:cs="仿宋_GB2312"/>
                <w:sz w:val="20"/>
                <w:szCs w:val="20"/>
                <w:lang w:eastAsia="zh-CN"/>
              </w:rPr>
            </w:pPr>
            <w:r>
              <w:rPr>
                <w:rFonts w:hint="eastAsia" w:ascii="仿宋_GB2312" w:hAnsi="仿宋_GB2312" w:eastAsia="仿宋_GB2312" w:cs="仿宋_GB2312"/>
                <w:b/>
                <w:bCs/>
                <w:color w:val="000000"/>
                <w:spacing w:val="0"/>
                <w:w w:val="100"/>
                <w:position w:val="0"/>
                <w:sz w:val="20"/>
                <w:szCs w:val="20"/>
              </w:rPr>
              <w:t>责任</w:t>
            </w:r>
            <w:r>
              <w:rPr>
                <w:rFonts w:hint="eastAsia" w:ascii="仿宋_GB2312" w:hAnsi="仿宋_GB2312" w:eastAsia="仿宋_GB2312" w:cs="仿宋_GB2312"/>
                <w:b/>
                <w:bCs/>
                <w:color w:val="000000"/>
                <w:spacing w:val="0"/>
                <w:w w:val="100"/>
                <w:position w:val="0"/>
                <w:sz w:val="20"/>
                <w:szCs w:val="20"/>
                <w:lang w:eastAsia="zh-CN"/>
              </w:rPr>
              <w:t>科室</w:t>
            </w:r>
          </w:p>
        </w:tc>
        <w:tc>
          <w:tcPr>
            <w:tcBorders>
              <w:top w:val="single" w:color="auto" w:sz="4" w:space="0"/>
              <w:left w:val="single" w:color="auto" w:sz="4" w:space="0"/>
              <w:righ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2" w:firstLineChars="200"/>
              <w:jc w:val="both"/>
              <w:textAlignment w:val="auto"/>
              <w:rPr>
                <w:rFonts w:hint="eastAsia" w:ascii="仿宋_GB2312" w:hAnsi="仿宋_GB2312" w:eastAsia="仿宋_GB2312" w:cs="仿宋_GB2312"/>
                <w:sz w:val="20"/>
                <w:szCs w:val="20"/>
              </w:rPr>
            </w:pPr>
            <w:r>
              <w:rPr>
                <w:rFonts w:hint="eastAsia" w:ascii="仿宋_GB2312" w:hAnsi="仿宋_GB2312" w:eastAsia="仿宋_GB2312" w:cs="仿宋_GB2312"/>
                <w:b/>
                <w:bCs/>
                <w:color w:val="000000"/>
                <w:spacing w:val="0"/>
                <w:w w:val="100"/>
                <w:position w:val="0"/>
                <w:sz w:val="20"/>
                <w:szCs w:val="20"/>
              </w:rPr>
              <w:t>责任单位</w:t>
            </w:r>
          </w:p>
        </w:tc>
      </w:tr>
      <w:tr>
        <w:tblPrEx>
          <w:tblCellMar>
            <w:top w:w="0" w:type="dxa"/>
            <w:left w:w="10" w:type="dxa"/>
            <w:bottom w:w="0" w:type="dxa"/>
            <w:right w:w="10" w:type="dxa"/>
          </w:tblCellMar>
        </w:tblPrEx>
        <w:trPr>
          <w:trHeight w:val="1214" w:hRule="exact"/>
          <w:jc w:val="center"/>
        </w:trPr>
        <w:tc>
          <w:tcPr>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rPr>
            </w:pPr>
            <w:r>
              <w:rPr>
                <w:rFonts w:hint="eastAsia" w:ascii="仿宋_GB2312" w:hAnsi="仿宋_GB2312" w:eastAsia="仿宋_GB2312" w:cs="仿宋_GB2312"/>
                <w:color w:val="000000"/>
                <w:spacing w:val="0"/>
                <w:w w:val="100"/>
                <w:position w:val="0"/>
                <w:sz w:val="20"/>
                <w:szCs w:val="20"/>
              </w:rPr>
              <w:t>1</w:t>
            </w:r>
          </w:p>
        </w:tc>
        <w:tc>
          <w:tcPr>
            <w:tcW w:w="714" w:type="dxa"/>
            <w:vMerge w:val="restart"/>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b/>
                <w:bCs/>
                <w:color w:val="000000"/>
                <w:spacing w:val="0"/>
                <w:w w:val="100"/>
                <w:position w:val="0"/>
                <w:sz w:val="20"/>
                <w:szCs w:val="20"/>
                <w:lang w:eastAsia="zh-CN"/>
              </w:rPr>
            </w:pPr>
            <w:r>
              <w:rPr>
                <w:rFonts w:hint="eastAsia" w:ascii="仿宋_GB2312" w:hAnsi="仿宋_GB2312" w:eastAsia="仿宋_GB2312" w:cs="仿宋_GB2312"/>
                <w:b/>
                <w:bCs/>
                <w:color w:val="000000"/>
                <w:spacing w:val="0"/>
                <w:w w:val="100"/>
                <w:position w:val="0"/>
                <w:sz w:val="20"/>
                <w:szCs w:val="20"/>
                <w:lang w:eastAsia="zh-CN"/>
              </w:rPr>
              <w:t>最</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b/>
                <w:bCs/>
                <w:color w:val="000000"/>
                <w:spacing w:val="0"/>
                <w:w w:val="100"/>
                <w:position w:val="0"/>
                <w:sz w:val="20"/>
                <w:szCs w:val="20"/>
              </w:rPr>
            </w:pPr>
            <w:r>
              <w:rPr>
                <w:rFonts w:hint="eastAsia" w:ascii="仿宋_GB2312" w:hAnsi="仿宋_GB2312" w:eastAsia="仿宋_GB2312" w:cs="仿宋_GB2312"/>
                <w:b/>
                <w:bCs/>
                <w:color w:val="000000"/>
                <w:spacing w:val="0"/>
                <w:w w:val="100"/>
                <w:position w:val="0"/>
                <w:sz w:val="20"/>
                <w:szCs w:val="20"/>
              </w:rPr>
              <w:t>干</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b/>
                <w:bCs/>
                <w:color w:val="000000"/>
                <w:spacing w:val="0"/>
                <w:w w:val="100"/>
                <w:position w:val="0"/>
                <w:sz w:val="20"/>
                <w:szCs w:val="20"/>
              </w:rPr>
            </w:pPr>
            <w:r>
              <w:rPr>
                <w:rFonts w:hint="eastAsia" w:ascii="仿宋_GB2312" w:hAnsi="仿宋_GB2312" w:eastAsia="仿宋_GB2312" w:cs="仿宋_GB2312"/>
                <w:b/>
                <w:bCs/>
                <w:color w:val="000000"/>
                <w:spacing w:val="0"/>
                <w:w w:val="100"/>
                <w:position w:val="0"/>
                <w:sz w:val="20"/>
                <w:szCs w:val="20"/>
              </w:rPr>
              <w:t>净</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b/>
                <w:bCs/>
                <w:color w:val="000000"/>
                <w:spacing w:val="0"/>
                <w:w w:val="100"/>
                <w:position w:val="0"/>
                <w:sz w:val="20"/>
                <w:szCs w:val="20"/>
                <w:lang w:eastAsia="zh-CN"/>
              </w:rPr>
            </w:pPr>
            <w:r>
              <w:rPr>
                <w:rFonts w:hint="eastAsia" w:ascii="仿宋_GB2312" w:hAnsi="仿宋_GB2312" w:eastAsia="仿宋_GB2312" w:cs="仿宋_GB2312"/>
                <w:b/>
                <w:bCs/>
                <w:color w:val="000000"/>
                <w:spacing w:val="0"/>
                <w:w w:val="100"/>
                <w:position w:val="0"/>
                <w:sz w:val="20"/>
                <w:szCs w:val="20"/>
                <w:lang w:eastAsia="zh-CN"/>
              </w:rPr>
              <w:t>城</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b/>
                <w:bCs/>
                <w:color w:val="000000"/>
                <w:spacing w:val="0"/>
                <w:w w:val="100"/>
                <w:position w:val="0"/>
                <w:sz w:val="20"/>
                <w:szCs w:val="20"/>
              </w:rPr>
            </w:pPr>
            <w:r>
              <w:rPr>
                <w:rFonts w:hint="eastAsia" w:ascii="仿宋_GB2312" w:hAnsi="仿宋_GB2312" w:eastAsia="仿宋_GB2312" w:cs="仿宋_GB2312"/>
                <w:b/>
                <w:bCs/>
                <w:color w:val="000000"/>
                <w:spacing w:val="0"/>
                <w:w w:val="100"/>
                <w:position w:val="0"/>
                <w:sz w:val="20"/>
                <w:szCs w:val="20"/>
              </w:rPr>
              <w:t>市</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b/>
                <w:bCs/>
                <w:color w:val="000000"/>
                <w:spacing w:val="0"/>
                <w:w w:val="100"/>
                <w:position w:val="0"/>
                <w:sz w:val="20"/>
                <w:szCs w:val="20"/>
              </w:rPr>
            </w:pPr>
            <w:r>
              <w:rPr>
                <w:rFonts w:hint="eastAsia" w:ascii="仿宋_GB2312" w:hAnsi="仿宋_GB2312" w:eastAsia="仿宋_GB2312" w:cs="仿宋_GB2312"/>
                <w:b/>
                <w:bCs/>
                <w:color w:val="000000"/>
                <w:spacing w:val="0"/>
                <w:w w:val="100"/>
                <w:position w:val="0"/>
                <w:sz w:val="20"/>
                <w:szCs w:val="20"/>
              </w:rPr>
              <w:t>专</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b/>
                <w:bCs/>
                <w:color w:val="000000"/>
                <w:spacing w:val="0"/>
                <w:w w:val="100"/>
                <w:position w:val="0"/>
                <w:sz w:val="20"/>
                <w:szCs w:val="20"/>
              </w:rPr>
            </w:pPr>
            <w:r>
              <w:rPr>
                <w:rFonts w:hint="eastAsia" w:ascii="仿宋_GB2312" w:hAnsi="仿宋_GB2312" w:eastAsia="仿宋_GB2312" w:cs="仿宋_GB2312"/>
                <w:b/>
                <w:bCs/>
                <w:color w:val="000000"/>
                <w:spacing w:val="0"/>
                <w:w w:val="100"/>
                <w:position w:val="0"/>
                <w:sz w:val="20"/>
                <w:szCs w:val="20"/>
              </w:rPr>
              <w:t>项</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b/>
                <w:bCs/>
                <w:color w:val="000000"/>
                <w:spacing w:val="0"/>
                <w:w w:val="100"/>
                <w:position w:val="0"/>
                <w:sz w:val="20"/>
                <w:szCs w:val="20"/>
              </w:rPr>
            </w:pPr>
            <w:r>
              <w:rPr>
                <w:rFonts w:hint="eastAsia" w:ascii="仿宋_GB2312" w:hAnsi="仿宋_GB2312" w:eastAsia="仿宋_GB2312" w:cs="仿宋_GB2312"/>
                <w:b/>
                <w:bCs/>
                <w:color w:val="000000"/>
                <w:spacing w:val="0"/>
                <w:w w:val="100"/>
                <w:position w:val="0"/>
                <w:sz w:val="20"/>
                <w:szCs w:val="20"/>
              </w:rPr>
              <w:t>行</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rPr>
            </w:pPr>
            <w:r>
              <w:rPr>
                <w:rFonts w:hint="eastAsia" w:ascii="仿宋_GB2312" w:hAnsi="仿宋_GB2312" w:eastAsia="仿宋_GB2312" w:cs="仿宋_GB2312"/>
                <w:b/>
                <w:bCs/>
                <w:color w:val="000000"/>
                <w:spacing w:val="0"/>
                <w:w w:val="100"/>
                <w:position w:val="0"/>
                <w:sz w:val="20"/>
                <w:szCs w:val="20"/>
              </w:rPr>
              <w:t>动</w:t>
            </w:r>
          </w:p>
        </w:tc>
        <w:tc>
          <w:tcPr>
            <w:tcW w:w="2262"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推进道路深度保洁 工程</w:t>
            </w:r>
          </w:p>
        </w:tc>
        <w:tc>
          <w:tcPr>
            <w:tcW w:w="5102"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全面推进城乡道路保洁工作，完成5条主干道路面见本色，实现道路干净整洁。</w:t>
            </w:r>
          </w:p>
        </w:tc>
        <w:tc>
          <w:tcPr>
            <w:tcW w:w="1416"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8月底完成</w:t>
            </w:r>
          </w:p>
        </w:tc>
        <w:tc>
          <w:tcPr>
            <w:tcW w:w="1277"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徐棵柯</w:t>
            </w:r>
          </w:p>
        </w:tc>
        <w:tc>
          <w:tcPr>
            <w:tcW w:w="1421"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市环卫处</w:t>
            </w:r>
          </w:p>
        </w:tc>
        <w:tc>
          <w:tcPr>
            <w:tcBorders>
              <w:top w:val="single" w:color="auto" w:sz="4" w:space="0"/>
              <w:left w:val="single" w:color="auto" w:sz="4" w:space="0"/>
              <w:righ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center"/>
              <w:textAlignment w:val="auto"/>
              <w:rPr>
                <w:rFonts w:hint="eastAsia" w:ascii="仿宋_GB2312" w:hAnsi="仿宋_GB2312" w:eastAsia="仿宋_GB2312" w:cs="仿宋_GB2312"/>
                <w:sz w:val="20"/>
                <w:szCs w:val="20"/>
              </w:rPr>
            </w:pPr>
          </w:p>
        </w:tc>
      </w:tr>
      <w:tr>
        <w:tblPrEx>
          <w:tblCellMar>
            <w:top w:w="0" w:type="dxa"/>
            <w:left w:w="10" w:type="dxa"/>
            <w:bottom w:w="0" w:type="dxa"/>
            <w:right w:w="10" w:type="dxa"/>
          </w:tblCellMar>
        </w:tblPrEx>
        <w:trPr>
          <w:trHeight w:val="907" w:hRule="exact"/>
          <w:jc w:val="center"/>
        </w:trPr>
        <w:tc>
          <w:tcPr>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rPr>
            </w:pPr>
            <w:r>
              <w:rPr>
                <w:rFonts w:hint="eastAsia" w:ascii="仿宋_GB2312" w:hAnsi="仿宋_GB2312" w:eastAsia="仿宋_GB2312" w:cs="仿宋_GB2312"/>
                <w:color w:val="000000"/>
                <w:spacing w:val="0"/>
                <w:w w:val="100"/>
                <w:position w:val="0"/>
                <w:sz w:val="20"/>
                <w:szCs w:val="20"/>
              </w:rPr>
              <w:t>2</w:t>
            </w:r>
          </w:p>
        </w:tc>
        <w:tc>
          <w:tcPr>
            <w:tcW w:w="714" w:type="dxa"/>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firstLine="400" w:firstLineChars="200"/>
              <w:jc w:val="center"/>
              <w:textAlignment w:val="auto"/>
              <w:rPr>
                <w:rFonts w:hint="eastAsia" w:ascii="仿宋_GB2312" w:hAnsi="仿宋_GB2312" w:eastAsia="仿宋_GB2312" w:cs="仿宋_GB2312"/>
                <w:sz w:val="20"/>
                <w:szCs w:val="20"/>
              </w:rPr>
            </w:pPr>
          </w:p>
        </w:tc>
        <w:tc>
          <w:tcPr>
            <w:tcW w:w="2262"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打造席地而坐示范 区工程</w:t>
            </w:r>
          </w:p>
        </w:tc>
        <w:tc>
          <w:tcPr>
            <w:tcW w:w="5102"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按照席地而坐示范区域创建标准打造1个高品质席地而坐商圈或城市窗口区域。</w:t>
            </w:r>
          </w:p>
        </w:tc>
        <w:tc>
          <w:tcPr>
            <w:tcW w:w="1416"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8月底完成</w:t>
            </w:r>
          </w:p>
        </w:tc>
        <w:tc>
          <w:tcPr>
            <w:tcW w:w="1277"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徐棵柯</w:t>
            </w:r>
          </w:p>
        </w:tc>
        <w:tc>
          <w:tcPr>
            <w:tcW w:w="1421"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市环卫处</w:t>
            </w:r>
          </w:p>
        </w:tc>
        <w:tc>
          <w:tcPr>
            <w:tcBorders>
              <w:top w:val="single" w:color="auto" w:sz="4" w:space="0"/>
              <w:left w:val="single" w:color="auto" w:sz="4" w:space="0"/>
              <w:righ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center"/>
              <w:textAlignment w:val="auto"/>
              <w:rPr>
                <w:rFonts w:hint="eastAsia" w:ascii="仿宋_GB2312" w:hAnsi="仿宋_GB2312" w:eastAsia="仿宋_GB2312" w:cs="仿宋_GB2312"/>
                <w:sz w:val="20"/>
                <w:szCs w:val="20"/>
              </w:rPr>
            </w:pPr>
          </w:p>
        </w:tc>
      </w:tr>
      <w:tr>
        <w:tblPrEx>
          <w:tblCellMar>
            <w:top w:w="0" w:type="dxa"/>
            <w:left w:w="10" w:type="dxa"/>
            <w:bottom w:w="0" w:type="dxa"/>
            <w:right w:w="10" w:type="dxa"/>
          </w:tblCellMar>
        </w:tblPrEx>
        <w:trPr>
          <w:trHeight w:val="1210" w:hRule="exact"/>
          <w:jc w:val="center"/>
        </w:trPr>
        <w:tc>
          <w:tcPr>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rPr>
            </w:pPr>
            <w:r>
              <w:rPr>
                <w:rFonts w:hint="eastAsia" w:ascii="仿宋_GB2312" w:hAnsi="仿宋_GB2312" w:eastAsia="仿宋_GB2312" w:cs="仿宋_GB2312"/>
                <w:color w:val="000000"/>
                <w:spacing w:val="0"/>
                <w:w w:val="100"/>
                <w:position w:val="0"/>
                <w:sz w:val="20"/>
                <w:szCs w:val="20"/>
              </w:rPr>
              <w:t>3</w:t>
            </w:r>
          </w:p>
        </w:tc>
        <w:tc>
          <w:tcPr>
            <w:tcW w:w="714" w:type="dxa"/>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firstLine="400" w:firstLineChars="200"/>
              <w:jc w:val="center"/>
              <w:textAlignment w:val="auto"/>
              <w:rPr>
                <w:rFonts w:hint="eastAsia" w:ascii="仿宋_GB2312" w:hAnsi="仿宋_GB2312" w:eastAsia="仿宋_GB2312" w:cs="仿宋_GB2312"/>
                <w:sz w:val="20"/>
                <w:szCs w:val="20"/>
              </w:rPr>
            </w:pPr>
          </w:p>
        </w:tc>
        <w:tc>
          <w:tcPr>
            <w:tcW w:w="2262"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户外广告招牌品质化提升工程</w:t>
            </w:r>
          </w:p>
        </w:tc>
        <w:tc>
          <w:tcPr>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重点对主次干道、交通枢纽、重要商圈周边，开展屋顶户外广告、户 外招牌集中整治，引导屋顶户外招牌移至建筑 物顶部外立面，确保建筑物轮廓整洁。</w:t>
            </w:r>
          </w:p>
        </w:tc>
        <w:tc>
          <w:tcPr>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8月底完成</w:t>
            </w:r>
          </w:p>
        </w:tc>
        <w:tc>
          <w:tcPr>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项其聪</w:t>
            </w:r>
          </w:p>
        </w:tc>
        <w:tc>
          <w:tcPr>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城市管理科</w:t>
            </w:r>
          </w:p>
        </w:tc>
        <w:tc>
          <w:tcPr>
            <w:tcBorders>
              <w:top w:val="single" w:color="auto" w:sz="4" w:space="0"/>
              <w:left w:val="single" w:color="auto" w:sz="4" w:space="0"/>
              <w:righ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center"/>
              <w:textAlignment w:val="auto"/>
              <w:rPr>
                <w:rFonts w:hint="eastAsia" w:ascii="仿宋_GB2312" w:hAnsi="仿宋_GB2312" w:eastAsia="仿宋_GB2312" w:cs="仿宋_GB2312"/>
                <w:sz w:val="20"/>
                <w:szCs w:val="20"/>
              </w:rPr>
            </w:pPr>
          </w:p>
        </w:tc>
      </w:tr>
      <w:tr>
        <w:tblPrEx>
          <w:tblCellMar>
            <w:top w:w="0" w:type="dxa"/>
            <w:left w:w="10" w:type="dxa"/>
            <w:bottom w:w="0" w:type="dxa"/>
            <w:right w:w="10" w:type="dxa"/>
          </w:tblCellMar>
        </w:tblPrEx>
        <w:trPr>
          <w:trHeight w:val="912" w:hRule="exact"/>
          <w:jc w:val="center"/>
        </w:trPr>
        <w:tc>
          <w:tcPr>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rPr>
            </w:pPr>
            <w:r>
              <w:rPr>
                <w:rFonts w:hint="eastAsia" w:ascii="仿宋_GB2312" w:hAnsi="仿宋_GB2312" w:eastAsia="仿宋_GB2312" w:cs="仿宋_GB2312"/>
                <w:color w:val="000000"/>
                <w:spacing w:val="0"/>
                <w:w w:val="100"/>
                <w:position w:val="0"/>
                <w:sz w:val="20"/>
                <w:szCs w:val="20"/>
              </w:rPr>
              <w:t>4</w:t>
            </w:r>
          </w:p>
        </w:tc>
        <w:tc>
          <w:tcPr>
            <w:tcW w:w="714" w:type="dxa"/>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firstLine="400" w:firstLineChars="200"/>
              <w:jc w:val="center"/>
              <w:textAlignment w:val="auto"/>
              <w:rPr>
                <w:rFonts w:hint="eastAsia" w:ascii="仿宋_GB2312" w:hAnsi="仿宋_GB2312" w:eastAsia="仿宋_GB2312" w:cs="仿宋_GB2312"/>
                <w:sz w:val="20"/>
                <w:szCs w:val="20"/>
              </w:rPr>
            </w:pPr>
          </w:p>
        </w:tc>
        <w:tc>
          <w:tcPr>
            <w:tcW w:w="2262"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公厕服务提质工程</w:t>
            </w:r>
          </w:p>
        </w:tc>
        <w:tc>
          <w:tcPr>
            <w:tcW w:w="5102"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中心城区的环卫公厕实行24小时开放、提供洗手液和免费厕纸。</w:t>
            </w:r>
          </w:p>
        </w:tc>
        <w:tc>
          <w:tcPr>
            <w:tcW w:w="1416"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8月底前</w:t>
            </w:r>
          </w:p>
        </w:tc>
        <w:tc>
          <w:tcPr>
            <w:tcW w:w="1277"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徐棵柯</w:t>
            </w:r>
          </w:p>
        </w:tc>
        <w:tc>
          <w:tcPr>
            <w:tcW w:w="1421"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市环卫处</w:t>
            </w:r>
          </w:p>
        </w:tc>
        <w:tc>
          <w:tcPr>
            <w:tcBorders>
              <w:top w:val="single" w:color="auto" w:sz="4" w:space="0"/>
              <w:left w:val="single" w:color="auto" w:sz="4" w:space="0"/>
              <w:righ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center"/>
              <w:textAlignment w:val="auto"/>
              <w:rPr>
                <w:rFonts w:hint="eastAsia" w:ascii="仿宋_GB2312" w:hAnsi="仿宋_GB2312" w:eastAsia="仿宋_GB2312" w:cs="仿宋_GB2312"/>
                <w:sz w:val="20"/>
                <w:szCs w:val="20"/>
              </w:rPr>
            </w:pPr>
          </w:p>
        </w:tc>
      </w:tr>
      <w:tr>
        <w:tblPrEx>
          <w:tblCellMar>
            <w:top w:w="0" w:type="dxa"/>
            <w:left w:w="10" w:type="dxa"/>
            <w:bottom w:w="0" w:type="dxa"/>
            <w:right w:w="10" w:type="dxa"/>
          </w:tblCellMar>
        </w:tblPrEx>
        <w:trPr>
          <w:trHeight w:val="1114" w:hRule="exact"/>
          <w:jc w:val="center"/>
        </w:trPr>
        <w:tc>
          <w:tcPr>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rPr>
            </w:pPr>
            <w:r>
              <w:rPr>
                <w:rFonts w:hint="eastAsia" w:ascii="仿宋_GB2312" w:hAnsi="仿宋_GB2312" w:eastAsia="仿宋_GB2312" w:cs="仿宋_GB2312"/>
                <w:color w:val="000000"/>
                <w:spacing w:val="0"/>
                <w:w w:val="100"/>
                <w:position w:val="0"/>
                <w:sz w:val="20"/>
                <w:szCs w:val="20"/>
              </w:rPr>
              <w:t>5</w:t>
            </w:r>
          </w:p>
        </w:tc>
        <w:tc>
          <w:tcPr>
            <w:tcW w:w="714" w:type="dxa"/>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firstLine="400" w:firstLineChars="200"/>
              <w:jc w:val="center"/>
              <w:textAlignment w:val="auto"/>
              <w:rPr>
                <w:rFonts w:hint="eastAsia" w:ascii="仿宋_GB2312" w:hAnsi="仿宋_GB2312" w:eastAsia="仿宋_GB2312" w:cs="仿宋_GB2312"/>
                <w:sz w:val="20"/>
                <w:szCs w:val="20"/>
              </w:rPr>
            </w:pPr>
          </w:p>
        </w:tc>
        <w:tc>
          <w:tcPr>
            <w:tcW w:w="2262"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建筑楼宇洁化工程</w:t>
            </w:r>
          </w:p>
        </w:tc>
        <w:tc>
          <w:tcPr>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以亚运沿线为重点，主要道路两侧建（构）筑物外立面无污迹，无墙体脱落或修补后基本无色差。</w:t>
            </w:r>
          </w:p>
        </w:tc>
        <w:tc>
          <w:tcPr>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仿宋_GB2312" w:hAnsi="仿宋_GB2312" w:eastAsia="仿宋_GB2312" w:cs="仿宋_GB2312"/>
                <w:color w:val="000000"/>
                <w:spacing w:val="0"/>
                <w:w w:val="100"/>
                <w:position w:val="0"/>
                <w:sz w:val="20"/>
                <w:szCs w:val="20"/>
                <w:u w:val="none"/>
                <w:shd w:val="clear" w:color="auto" w:fill="auto"/>
                <w:lang w:val="en-US" w:eastAsia="zh-CN" w:bidi="en-US"/>
              </w:rPr>
            </w:pPr>
            <w:r>
              <w:rPr>
                <w:rFonts w:hint="eastAsia" w:ascii="仿宋_GB2312" w:hAnsi="仿宋_GB2312" w:eastAsia="仿宋_GB2312" w:cs="仿宋_GB2312"/>
                <w:sz w:val="20"/>
                <w:szCs w:val="20"/>
                <w:lang w:val="en-US" w:eastAsia="zh-CN"/>
              </w:rPr>
              <w:t>8月底前</w:t>
            </w:r>
          </w:p>
        </w:tc>
        <w:tc>
          <w:tcPr>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仿宋_GB2312" w:hAnsi="仿宋_GB2312" w:eastAsia="仿宋_GB2312" w:cs="仿宋_GB2312"/>
                <w:color w:val="000000"/>
                <w:spacing w:val="0"/>
                <w:w w:val="100"/>
                <w:position w:val="0"/>
                <w:sz w:val="20"/>
                <w:szCs w:val="20"/>
                <w:u w:val="none"/>
                <w:shd w:val="clear" w:color="auto" w:fill="auto"/>
                <w:lang w:val="en-US" w:eastAsia="zh-CN" w:bidi="en-US"/>
              </w:rPr>
            </w:pPr>
            <w:r>
              <w:rPr>
                <w:rFonts w:hint="eastAsia" w:ascii="仿宋_GB2312" w:hAnsi="仿宋_GB2312" w:eastAsia="仿宋_GB2312" w:cs="仿宋_GB2312"/>
                <w:sz w:val="20"/>
                <w:szCs w:val="20"/>
                <w:lang w:val="en-US" w:eastAsia="zh-CN"/>
              </w:rPr>
              <w:t>许文杰</w:t>
            </w:r>
          </w:p>
        </w:tc>
        <w:tc>
          <w:tcPr>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仿宋_GB2312" w:hAnsi="仿宋_GB2312" w:eastAsia="仿宋_GB2312" w:cs="仿宋_GB2312"/>
                <w:color w:val="000000"/>
                <w:spacing w:val="0"/>
                <w:w w:val="100"/>
                <w:position w:val="0"/>
                <w:sz w:val="20"/>
                <w:szCs w:val="20"/>
                <w:u w:val="none"/>
                <w:shd w:val="clear" w:color="auto" w:fill="auto"/>
                <w:lang w:val="en-US" w:eastAsia="zh-CN" w:bidi="en-US"/>
              </w:rPr>
            </w:pPr>
            <w:r>
              <w:rPr>
                <w:rFonts w:hint="eastAsia" w:ascii="仿宋_GB2312" w:hAnsi="仿宋_GB2312" w:eastAsia="仿宋_GB2312" w:cs="仿宋_GB2312"/>
                <w:color w:val="000000"/>
                <w:spacing w:val="0"/>
                <w:w w:val="100"/>
                <w:position w:val="0"/>
                <w:sz w:val="20"/>
                <w:szCs w:val="20"/>
                <w:u w:val="none"/>
                <w:shd w:val="clear" w:color="auto" w:fill="auto"/>
                <w:lang w:val="en-US" w:eastAsia="zh-CN" w:bidi="en-US"/>
              </w:rPr>
              <w:t>直属中队</w:t>
            </w:r>
            <w:bookmarkStart w:id="0" w:name="_GoBack"/>
            <w:bookmarkEnd w:id="0"/>
          </w:p>
        </w:tc>
        <w:tc>
          <w:tcPr>
            <w:tcBorders>
              <w:top w:val="single" w:color="auto" w:sz="4" w:space="0"/>
              <w:left w:val="single" w:color="auto" w:sz="4" w:space="0"/>
              <w:righ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center"/>
              <w:textAlignment w:val="auto"/>
              <w:rPr>
                <w:rFonts w:hint="eastAsia" w:ascii="仿宋_GB2312" w:hAnsi="仿宋_GB2312" w:eastAsia="仿宋_GB2312" w:cs="仿宋_GB2312"/>
                <w:sz w:val="20"/>
                <w:szCs w:val="20"/>
              </w:rPr>
            </w:pPr>
          </w:p>
        </w:tc>
      </w:tr>
      <w:tr>
        <w:tblPrEx>
          <w:tblCellMar>
            <w:top w:w="0" w:type="dxa"/>
            <w:left w:w="10" w:type="dxa"/>
            <w:bottom w:w="0" w:type="dxa"/>
            <w:right w:w="10" w:type="dxa"/>
          </w:tblCellMar>
        </w:tblPrEx>
        <w:trPr>
          <w:trHeight w:val="595" w:hRule="atLeast"/>
          <w:jc w:val="center"/>
        </w:trPr>
        <w:tc>
          <w:tcPr>
            <w:vMerge w:val="restart"/>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rPr>
            </w:pPr>
            <w:r>
              <w:rPr>
                <w:rFonts w:hint="eastAsia" w:ascii="仿宋_GB2312" w:hAnsi="仿宋_GB2312" w:eastAsia="仿宋_GB2312" w:cs="仿宋_GB2312"/>
                <w:color w:val="000000"/>
                <w:spacing w:val="0"/>
                <w:w w:val="100"/>
                <w:position w:val="0"/>
                <w:sz w:val="20"/>
                <w:szCs w:val="20"/>
              </w:rPr>
              <w:t>6</w:t>
            </w:r>
          </w:p>
        </w:tc>
        <w:tc>
          <w:tcPr>
            <w:tcW w:w="714" w:type="dxa"/>
            <w:vMerge w:val="continue"/>
            <w:tcBorders>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firstLine="400" w:firstLineChars="200"/>
              <w:jc w:val="center"/>
              <w:textAlignment w:val="auto"/>
              <w:rPr>
                <w:rFonts w:hint="eastAsia" w:ascii="仿宋_GB2312" w:hAnsi="仿宋_GB2312" w:eastAsia="仿宋_GB2312" w:cs="仿宋_GB2312"/>
                <w:sz w:val="20"/>
                <w:szCs w:val="20"/>
              </w:rPr>
            </w:pPr>
          </w:p>
        </w:tc>
        <w:tc>
          <w:tcPr>
            <w:tcW w:w="2262" w:type="dxa"/>
            <w:vMerge w:val="restart"/>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城市家具整洁净化工程</w:t>
            </w:r>
          </w:p>
        </w:tc>
        <w:tc>
          <w:tcPr>
            <w:tcW w:w="5102" w:type="dxa"/>
            <w:tcBorders>
              <w:top w:val="single" w:color="auto" w:sz="4" w:space="0"/>
              <w:left w:val="single" w:color="auto" w:sz="4" w:space="0"/>
              <w:bottom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提升城市家具整洁度。主次干道、重要商圈周边城市家具无阻挡行人，无污迹，无陈旧破损、倾斜、油漆脱落。</w:t>
            </w:r>
          </w:p>
        </w:tc>
        <w:tc>
          <w:tcPr>
            <w:tcW w:w="1416" w:type="dxa"/>
            <w:tcBorders>
              <w:top w:val="single" w:color="auto" w:sz="4" w:space="0"/>
              <w:left w:val="single" w:color="auto" w:sz="4" w:space="0"/>
              <w:bottom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8月底完成</w:t>
            </w:r>
          </w:p>
        </w:tc>
        <w:tc>
          <w:tcPr>
            <w:tcW w:w="1277" w:type="dxa"/>
            <w:tcBorders>
              <w:top w:val="single" w:color="auto" w:sz="4" w:space="0"/>
              <w:left w:val="single" w:color="auto" w:sz="4" w:space="0"/>
              <w:bottom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徐棵柯</w:t>
            </w:r>
          </w:p>
        </w:tc>
        <w:tc>
          <w:tcPr>
            <w:tcW w:w="1421" w:type="dxa"/>
            <w:tcBorders>
              <w:top w:val="single" w:color="auto" w:sz="4" w:space="0"/>
              <w:left w:val="single" w:color="auto" w:sz="4" w:space="0"/>
              <w:bottom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市环卫处</w:t>
            </w:r>
          </w:p>
        </w:tc>
        <w:tc>
          <w:tcPr>
            <w:tcW w:w="178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center"/>
              <w:textAlignment w:val="auto"/>
              <w:rPr>
                <w:rFonts w:hint="eastAsia" w:ascii="仿宋_GB2312" w:hAnsi="仿宋_GB2312" w:eastAsia="仿宋_GB2312" w:cs="仿宋_GB2312"/>
                <w:sz w:val="20"/>
                <w:szCs w:val="20"/>
              </w:rPr>
            </w:pPr>
          </w:p>
        </w:tc>
      </w:tr>
      <w:tr>
        <w:tblPrEx>
          <w:tblCellMar>
            <w:top w:w="0" w:type="dxa"/>
            <w:left w:w="10" w:type="dxa"/>
            <w:bottom w:w="0" w:type="dxa"/>
            <w:right w:w="10" w:type="dxa"/>
          </w:tblCellMar>
        </w:tblPrEx>
        <w:trPr>
          <w:trHeight w:val="595" w:hRule="atLeast"/>
          <w:jc w:val="center"/>
        </w:trPr>
        <w:tc>
          <w:tcPr>
            <w:vMerge w:val="continue"/>
            <w:tcBorders>
              <w:left w:val="single" w:color="auto" w:sz="4" w:space="0"/>
              <w:bottom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80" w:firstLineChars="200"/>
              <w:jc w:val="center"/>
              <w:textAlignment w:val="auto"/>
            </w:pPr>
          </w:p>
        </w:tc>
        <w:tc>
          <w:tcPr>
            <w:tcW w:w="714" w:type="dxa"/>
            <w:vMerge w:val="continue"/>
            <w:tcBorders>
              <w:left w:val="single" w:color="auto" w:sz="4" w:space="0"/>
              <w:bottom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80" w:firstLineChars="200"/>
              <w:jc w:val="center"/>
              <w:textAlignment w:val="auto"/>
            </w:pPr>
          </w:p>
        </w:tc>
        <w:tc>
          <w:tcPr>
            <w:tcW w:w="2262" w:type="dxa"/>
            <w:vMerge w:val="continue"/>
            <w:tcBorders>
              <w:left w:val="single" w:color="auto" w:sz="4" w:space="0"/>
              <w:bottom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80" w:firstLineChars="200"/>
              <w:jc w:val="center"/>
              <w:textAlignment w:val="auto"/>
            </w:pPr>
          </w:p>
        </w:tc>
        <w:tc>
          <w:tcPr>
            <w:tcW w:w="5102" w:type="dxa"/>
            <w:tcBorders>
              <w:top w:val="single" w:color="auto" w:sz="4" w:space="0"/>
              <w:left w:val="single" w:color="auto" w:sz="4" w:space="0"/>
              <w:bottom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both"/>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道路两侧和广场上设置的信息亭、阅报栏、宣传栏、公用电话亭、配变电箱、弱电交接箱、公交候车亭、公共自行车租赁亭、道路遮阳蓬、果壳箱、公共座椅等各类棚、亭、箱、栏式样的公共服务设施，要符合《城市容貌标准》，布局合理、设置规范、造型美观。</w:t>
            </w:r>
          </w:p>
        </w:tc>
        <w:tc>
          <w:tcPr>
            <w:tcW w:w="1416" w:type="dxa"/>
            <w:tcBorders>
              <w:top w:val="single" w:color="auto" w:sz="4" w:space="0"/>
              <w:left w:val="single" w:color="auto" w:sz="4" w:space="0"/>
              <w:bottom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both"/>
              <w:textAlignment w:val="auto"/>
              <w:rPr>
                <w:rFonts w:hint="default"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 xml:space="preserve">8月底前完成                                                                                                                    </w:t>
            </w:r>
          </w:p>
        </w:tc>
        <w:tc>
          <w:tcPr>
            <w:tcW w:w="1277" w:type="dxa"/>
            <w:tcBorders>
              <w:top w:val="single" w:color="auto" w:sz="4" w:space="0"/>
              <w:left w:val="single" w:color="auto" w:sz="4" w:space="0"/>
              <w:bottom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仿宋_GB2312" w:hAnsi="仿宋_GB2312" w:eastAsia="仿宋_GB2312" w:cs="仿宋_GB2312"/>
                <w:color w:val="000000"/>
                <w:spacing w:val="0"/>
                <w:w w:val="100"/>
                <w:position w:val="0"/>
                <w:sz w:val="20"/>
                <w:szCs w:val="20"/>
                <w:u w:val="none"/>
                <w:shd w:val="clear" w:color="auto" w:fill="auto"/>
                <w:lang w:val="en-US" w:eastAsia="zh-CN" w:bidi="en-US"/>
              </w:rPr>
            </w:pPr>
            <w:r>
              <w:rPr>
                <w:rFonts w:hint="eastAsia" w:ascii="仿宋_GB2312" w:hAnsi="仿宋_GB2312" w:eastAsia="仿宋_GB2312" w:cs="仿宋_GB2312"/>
                <w:sz w:val="20"/>
                <w:szCs w:val="20"/>
                <w:lang w:val="en-US" w:eastAsia="zh-CN"/>
              </w:rPr>
              <w:t>项其聪</w:t>
            </w:r>
          </w:p>
        </w:tc>
        <w:tc>
          <w:tcPr>
            <w:tcW w:w="1421" w:type="dxa"/>
            <w:tcBorders>
              <w:top w:val="single" w:color="auto" w:sz="4" w:space="0"/>
              <w:left w:val="single" w:color="auto" w:sz="4" w:space="0"/>
              <w:bottom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仿宋_GB2312" w:hAnsi="仿宋_GB2312" w:eastAsia="仿宋_GB2312" w:cs="仿宋_GB2312"/>
                <w:color w:val="000000"/>
                <w:spacing w:val="0"/>
                <w:w w:val="100"/>
                <w:position w:val="0"/>
                <w:sz w:val="20"/>
                <w:szCs w:val="20"/>
                <w:u w:val="none"/>
                <w:shd w:val="clear" w:color="auto" w:fill="auto"/>
                <w:lang w:val="en-US" w:eastAsia="zh-CN" w:bidi="en-US"/>
              </w:rPr>
            </w:pPr>
            <w:r>
              <w:rPr>
                <w:rFonts w:hint="eastAsia" w:ascii="仿宋_GB2312" w:hAnsi="仿宋_GB2312" w:eastAsia="仿宋_GB2312" w:cs="仿宋_GB2312"/>
                <w:sz w:val="20"/>
                <w:szCs w:val="20"/>
                <w:lang w:val="en-US" w:eastAsia="zh-CN"/>
              </w:rPr>
              <w:t>城市管理科</w:t>
            </w:r>
          </w:p>
        </w:tc>
        <w:tc>
          <w:tcPr>
            <w:tcBorders>
              <w:top w:val="single" w:color="auto" w:sz="4" w:space="0"/>
              <w:left w:val="single" w:color="auto" w:sz="4" w:space="0"/>
              <w:bottom w:val="single" w:color="auto" w:sz="4" w:space="0"/>
              <w:righ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center"/>
              <w:textAlignment w:val="auto"/>
              <w:rPr>
                <w:rFonts w:hint="eastAsia" w:ascii="仿宋_GB2312" w:hAnsi="仿宋_GB2312" w:eastAsia="仿宋_GB2312" w:cs="仿宋_GB2312"/>
                <w:sz w:val="20"/>
                <w:szCs w:val="20"/>
                <w:lang w:val="en-US" w:eastAsia="zh-CN"/>
              </w:rPr>
            </w:pPr>
          </w:p>
        </w:tc>
      </w:tr>
    </w:tbl>
    <w:p>
      <w:pPr>
        <w:keepNext w:val="0"/>
        <w:keepLines w:val="0"/>
        <w:pageBreakBefore w:val="0"/>
        <w:widowControl w:val="0"/>
        <w:kinsoku/>
        <w:wordWrap/>
        <w:overflowPunct/>
        <w:topLinePunct w:val="0"/>
        <w:autoSpaceDE/>
        <w:autoSpaceDN/>
        <w:bidi w:val="0"/>
        <w:adjustRightInd/>
        <w:snapToGrid/>
        <w:spacing w:before="0" w:after="0" w:line="240" w:lineRule="auto"/>
        <w:ind w:left="0" w:firstLine="400" w:firstLineChars="200"/>
        <w:jc w:val="center"/>
        <w:textAlignment w:val="auto"/>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br w:type="page"/>
      </w:r>
    </w:p>
    <w:tbl>
      <w:tblPr>
        <w:tblStyle w:val="4"/>
        <w:tblW w:w="0" w:type="auto"/>
        <w:jc w:val="center"/>
        <w:tblLayout w:type="fixed"/>
        <w:tblCellMar>
          <w:top w:w="0" w:type="dxa"/>
          <w:left w:w="10" w:type="dxa"/>
          <w:bottom w:w="0" w:type="dxa"/>
          <w:right w:w="10" w:type="dxa"/>
        </w:tblCellMar>
      </w:tblPr>
      <w:tblGrid>
        <w:gridCol w:w="710"/>
        <w:gridCol w:w="710"/>
        <w:gridCol w:w="2266"/>
        <w:gridCol w:w="5102"/>
        <w:gridCol w:w="1416"/>
        <w:gridCol w:w="1277"/>
        <w:gridCol w:w="1421"/>
        <w:gridCol w:w="1786"/>
      </w:tblGrid>
      <w:tr>
        <w:tblPrEx>
          <w:tblCellMar>
            <w:top w:w="0" w:type="dxa"/>
            <w:left w:w="10" w:type="dxa"/>
            <w:bottom w:w="0" w:type="dxa"/>
            <w:right w:w="10" w:type="dxa"/>
          </w:tblCellMar>
        </w:tblPrEx>
        <w:trPr>
          <w:trHeight w:val="1210" w:hRule="exact"/>
          <w:jc w:val="center"/>
        </w:trPr>
        <w:tc>
          <w:tcPr>
            <w:tcW w:w="710"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7</w:t>
            </w:r>
          </w:p>
        </w:tc>
        <w:tc>
          <w:tcPr>
            <w:tcW w:w="710" w:type="dxa"/>
            <w:vMerge w:val="restart"/>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b/>
                <w:bCs/>
                <w:color w:val="000000"/>
                <w:spacing w:val="0"/>
                <w:w w:val="100"/>
                <w:position w:val="0"/>
                <w:sz w:val="20"/>
                <w:szCs w:val="20"/>
              </w:rPr>
            </w:pPr>
            <w:r>
              <w:rPr>
                <w:rFonts w:hint="eastAsia" w:ascii="仿宋_GB2312" w:hAnsi="仿宋_GB2312" w:eastAsia="仿宋_GB2312" w:cs="仿宋_GB2312"/>
                <w:b/>
                <w:bCs/>
                <w:color w:val="000000"/>
                <w:spacing w:val="0"/>
                <w:w w:val="100"/>
                <w:position w:val="0"/>
                <w:sz w:val="20"/>
                <w:szCs w:val="20"/>
              </w:rPr>
              <w:t>迎</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b/>
                <w:bCs/>
                <w:color w:val="000000"/>
                <w:spacing w:val="0"/>
                <w:w w:val="100"/>
                <w:position w:val="0"/>
                <w:sz w:val="20"/>
                <w:szCs w:val="20"/>
              </w:rPr>
            </w:pPr>
            <w:r>
              <w:rPr>
                <w:rFonts w:hint="eastAsia" w:ascii="仿宋_GB2312" w:hAnsi="仿宋_GB2312" w:eastAsia="仿宋_GB2312" w:cs="仿宋_GB2312"/>
                <w:b/>
                <w:bCs/>
                <w:color w:val="000000"/>
                <w:spacing w:val="0"/>
                <w:w w:val="100"/>
                <w:position w:val="0"/>
                <w:sz w:val="20"/>
                <w:szCs w:val="20"/>
              </w:rPr>
              <w:t>宾</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b/>
                <w:bCs/>
                <w:color w:val="000000"/>
                <w:spacing w:val="0"/>
                <w:w w:val="100"/>
                <w:position w:val="0"/>
                <w:sz w:val="20"/>
                <w:szCs w:val="20"/>
              </w:rPr>
            </w:pPr>
            <w:r>
              <w:rPr>
                <w:rFonts w:hint="eastAsia" w:ascii="仿宋_GB2312" w:hAnsi="仿宋_GB2312" w:eastAsia="仿宋_GB2312" w:cs="仿宋_GB2312"/>
                <w:b/>
                <w:bCs/>
                <w:color w:val="000000"/>
                <w:spacing w:val="0"/>
                <w:w w:val="100"/>
                <w:position w:val="0"/>
                <w:sz w:val="20"/>
                <w:szCs w:val="20"/>
              </w:rPr>
              <w:t>道</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b/>
                <w:bCs/>
                <w:color w:val="000000"/>
                <w:spacing w:val="0"/>
                <w:w w:val="100"/>
                <w:position w:val="0"/>
                <w:sz w:val="20"/>
                <w:szCs w:val="20"/>
              </w:rPr>
            </w:pPr>
            <w:r>
              <w:rPr>
                <w:rFonts w:hint="eastAsia" w:ascii="仿宋_GB2312" w:hAnsi="仿宋_GB2312" w:eastAsia="仿宋_GB2312" w:cs="仿宋_GB2312"/>
                <w:b/>
                <w:bCs/>
                <w:color w:val="000000"/>
                <w:spacing w:val="0"/>
                <w:w w:val="100"/>
                <w:position w:val="0"/>
                <w:sz w:val="20"/>
                <w:szCs w:val="20"/>
              </w:rPr>
              <w:t>整</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b/>
                <w:bCs/>
                <w:color w:val="000000"/>
                <w:spacing w:val="0"/>
                <w:w w:val="100"/>
                <w:position w:val="0"/>
                <w:sz w:val="20"/>
                <w:szCs w:val="20"/>
                <w:lang w:eastAsia="zh-CN"/>
              </w:rPr>
            </w:pPr>
            <w:r>
              <w:rPr>
                <w:rFonts w:hint="eastAsia" w:ascii="仿宋_GB2312" w:hAnsi="仿宋_GB2312" w:eastAsia="仿宋_GB2312" w:cs="仿宋_GB2312"/>
                <w:b/>
                <w:bCs/>
                <w:color w:val="000000"/>
                <w:spacing w:val="0"/>
                <w:w w:val="100"/>
                <w:position w:val="0"/>
                <w:sz w:val="20"/>
                <w:szCs w:val="20"/>
                <w:lang w:eastAsia="zh-CN"/>
              </w:rPr>
              <w:t>治</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b/>
                <w:bCs/>
                <w:color w:val="000000"/>
                <w:spacing w:val="0"/>
                <w:w w:val="100"/>
                <w:position w:val="0"/>
                <w:sz w:val="20"/>
                <w:szCs w:val="20"/>
              </w:rPr>
            </w:pPr>
            <w:r>
              <w:rPr>
                <w:rFonts w:hint="eastAsia" w:ascii="仿宋_GB2312" w:hAnsi="仿宋_GB2312" w:eastAsia="仿宋_GB2312" w:cs="仿宋_GB2312"/>
                <w:b/>
                <w:bCs/>
                <w:color w:val="000000"/>
                <w:spacing w:val="0"/>
                <w:w w:val="100"/>
                <w:position w:val="0"/>
                <w:sz w:val="20"/>
                <w:szCs w:val="20"/>
              </w:rPr>
              <w:t>提</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rPr>
            </w:pPr>
            <w:r>
              <w:rPr>
                <w:rFonts w:hint="eastAsia" w:ascii="仿宋_GB2312" w:hAnsi="仿宋_GB2312" w:eastAsia="仿宋_GB2312" w:cs="仿宋_GB2312"/>
                <w:b/>
                <w:bCs/>
                <w:color w:val="000000"/>
                <w:spacing w:val="0"/>
                <w:w w:val="100"/>
                <w:position w:val="0"/>
                <w:sz w:val="20"/>
                <w:szCs w:val="20"/>
              </w:rPr>
              <w:t>升</w:t>
            </w:r>
          </w:p>
        </w:tc>
        <w:tc>
          <w:tcPr>
            <w:tcW w:w="2266"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both"/>
              <w:textAlignment w:val="auto"/>
              <w:rPr>
                <w:rFonts w:hint="eastAsia" w:ascii="仿宋_GB2312" w:hAnsi="仿宋_GB2312" w:eastAsia="仿宋_GB2312" w:cs="仿宋_GB2312"/>
                <w:color w:val="000000"/>
                <w:spacing w:val="0"/>
                <w:w w:val="100"/>
                <w:position w:val="0"/>
                <w:sz w:val="20"/>
                <w:szCs w:val="20"/>
              </w:rPr>
            </w:pPr>
            <w:r>
              <w:rPr>
                <w:rFonts w:hint="eastAsia" w:ascii="仿宋_GB2312" w:hAnsi="仿宋_GB2312" w:eastAsia="仿宋_GB2312" w:cs="仿宋_GB2312"/>
                <w:color w:val="000000"/>
                <w:spacing w:val="0"/>
                <w:w w:val="100"/>
                <w:position w:val="0"/>
                <w:sz w:val="20"/>
                <w:szCs w:val="20"/>
              </w:rPr>
              <w:t>道路综合整治</w:t>
            </w:r>
          </w:p>
        </w:tc>
        <w:tc>
          <w:tcPr>
            <w:tcW w:w="5102" w:type="dxa"/>
            <w:tcBorders>
              <w:top w:val="single" w:color="auto" w:sz="4" w:space="0"/>
              <w:left w:val="single" w:color="auto" w:sz="4" w:space="0"/>
            </w:tcBorders>
            <w:shd w:val="clear" w:color="auto" w:fill="FFFFFF"/>
            <w:vAlign w:val="bottom"/>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color w:val="000000"/>
                <w:spacing w:val="0"/>
                <w:w w:val="100"/>
                <w:position w:val="0"/>
                <w:sz w:val="20"/>
                <w:szCs w:val="20"/>
              </w:rPr>
            </w:pPr>
            <w:r>
              <w:rPr>
                <w:rFonts w:hint="eastAsia" w:ascii="仿宋_GB2312" w:hAnsi="仿宋_GB2312" w:eastAsia="仿宋_GB2312" w:cs="仿宋_GB2312"/>
                <w:color w:val="000000"/>
                <w:spacing w:val="0"/>
                <w:w w:val="100"/>
                <w:position w:val="0"/>
                <w:sz w:val="20"/>
                <w:szCs w:val="20"/>
              </w:rPr>
              <w:t>对</w:t>
            </w:r>
            <w:r>
              <w:rPr>
                <w:rFonts w:hint="eastAsia" w:ascii="仿宋_GB2312" w:hAnsi="仿宋_GB2312" w:eastAsia="仿宋_GB2312" w:cs="仿宋_GB2312"/>
                <w:color w:val="000000"/>
                <w:spacing w:val="0"/>
                <w:w w:val="100"/>
                <w:position w:val="0"/>
                <w:sz w:val="20"/>
                <w:szCs w:val="20"/>
                <w:lang w:eastAsia="zh-CN"/>
              </w:rPr>
              <w:t>新城大道（北三环—中横线）、新江路（北二环—明州路）</w:t>
            </w:r>
            <w:r>
              <w:rPr>
                <w:rFonts w:hint="eastAsia" w:ascii="仿宋_GB2312" w:hAnsi="仿宋_GB2312" w:eastAsia="仿宋_GB2312" w:cs="仿宋_GB2312"/>
                <w:color w:val="000000"/>
                <w:spacing w:val="0"/>
                <w:w w:val="100"/>
                <w:position w:val="0"/>
                <w:sz w:val="20"/>
                <w:szCs w:val="20"/>
              </w:rPr>
              <w:t>等城市重要主干道实施沥青路面整治，消除道路起伏不平、路面破损、连续补丁等问题，提升行车舒适度和道路美观度。</w:t>
            </w:r>
          </w:p>
        </w:tc>
        <w:tc>
          <w:tcPr>
            <w:tcW w:w="1416"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both"/>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8月底完成</w:t>
            </w:r>
          </w:p>
        </w:tc>
        <w:tc>
          <w:tcPr>
            <w:tcW w:w="1277"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both"/>
              <w:textAlignment w:val="auto"/>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项其聪</w:t>
            </w:r>
          </w:p>
        </w:tc>
        <w:tc>
          <w:tcPr>
            <w:tcW w:w="1421"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both"/>
              <w:textAlignment w:val="auto"/>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养护所</w:t>
            </w:r>
          </w:p>
        </w:tc>
        <w:tc>
          <w:tcPr>
            <w:tcW w:w="1786" w:type="dxa"/>
            <w:tcBorders>
              <w:top w:val="single" w:color="auto" w:sz="4" w:space="0"/>
              <w:left w:val="single" w:color="auto" w:sz="4" w:space="0"/>
              <w:right w:val="single" w:color="auto" w:sz="4" w:space="0"/>
            </w:tcBorders>
            <w:shd w:val="clear" w:color="auto" w:fill="FFFFFF"/>
            <w:vAlign w:val="bottom"/>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center"/>
              <w:textAlignment w:val="auto"/>
              <w:rPr>
                <w:rFonts w:hint="eastAsia" w:ascii="仿宋_GB2312" w:hAnsi="仿宋_GB2312" w:eastAsia="仿宋_GB2312" w:cs="仿宋_GB2312"/>
                <w:sz w:val="20"/>
                <w:szCs w:val="20"/>
              </w:rPr>
            </w:pPr>
          </w:p>
        </w:tc>
      </w:tr>
      <w:tr>
        <w:tblPrEx>
          <w:tblCellMar>
            <w:top w:w="0" w:type="dxa"/>
            <w:left w:w="10" w:type="dxa"/>
            <w:bottom w:w="0" w:type="dxa"/>
            <w:right w:w="10" w:type="dxa"/>
          </w:tblCellMar>
        </w:tblPrEx>
        <w:trPr>
          <w:trHeight w:val="1210" w:hRule="exact"/>
          <w:jc w:val="center"/>
        </w:trPr>
        <w:tc>
          <w:tcPr>
            <w:tcW w:w="710"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8</w:t>
            </w:r>
          </w:p>
        </w:tc>
        <w:tc>
          <w:tcPr>
            <w:tcW w:w="710" w:type="dxa"/>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firstLine="400" w:firstLineChars="200"/>
              <w:jc w:val="center"/>
              <w:textAlignment w:val="auto"/>
              <w:rPr>
                <w:rFonts w:hint="eastAsia" w:ascii="仿宋_GB2312" w:hAnsi="仿宋_GB2312" w:eastAsia="仿宋_GB2312" w:cs="仿宋_GB2312"/>
                <w:sz w:val="20"/>
                <w:szCs w:val="20"/>
              </w:rPr>
            </w:pPr>
          </w:p>
        </w:tc>
        <w:tc>
          <w:tcPr>
            <w:tcW w:w="2266"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both"/>
              <w:textAlignment w:val="auto"/>
              <w:rPr>
                <w:rFonts w:hint="eastAsia" w:ascii="仿宋_GB2312" w:hAnsi="仿宋_GB2312" w:eastAsia="仿宋_GB2312" w:cs="仿宋_GB2312"/>
                <w:color w:val="000000"/>
                <w:spacing w:val="0"/>
                <w:w w:val="100"/>
                <w:position w:val="0"/>
                <w:sz w:val="20"/>
                <w:szCs w:val="20"/>
              </w:rPr>
            </w:pPr>
            <w:r>
              <w:rPr>
                <w:rFonts w:hint="eastAsia" w:ascii="仿宋_GB2312" w:hAnsi="仿宋_GB2312" w:eastAsia="仿宋_GB2312" w:cs="仿宋_GB2312"/>
                <w:color w:val="000000"/>
                <w:spacing w:val="0"/>
                <w:w w:val="100"/>
                <w:position w:val="0"/>
                <w:sz w:val="20"/>
                <w:szCs w:val="20"/>
              </w:rPr>
              <w:t>桥头跳车治理</w:t>
            </w:r>
          </w:p>
        </w:tc>
        <w:tc>
          <w:tcPr>
            <w:tcW w:w="5102"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color w:val="000000"/>
                <w:spacing w:val="0"/>
                <w:w w:val="100"/>
                <w:position w:val="0"/>
                <w:sz w:val="20"/>
                <w:szCs w:val="20"/>
              </w:rPr>
            </w:pPr>
            <w:r>
              <w:rPr>
                <w:rFonts w:hint="eastAsia" w:ascii="仿宋_GB2312" w:hAnsi="仿宋_GB2312" w:eastAsia="仿宋_GB2312" w:cs="仿宋_GB2312"/>
                <w:color w:val="000000"/>
                <w:spacing w:val="0"/>
                <w:w w:val="100"/>
                <w:position w:val="0"/>
                <w:sz w:val="20"/>
                <w:szCs w:val="20"/>
              </w:rPr>
              <w:t>对天九街工人路桥</w:t>
            </w:r>
            <w:r>
              <w:rPr>
                <w:rFonts w:hint="eastAsia" w:ascii="仿宋_GB2312" w:hAnsi="仿宋_GB2312" w:eastAsia="仿宋_GB2312" w:cs="仿宋_GB2312"/>
                <w:color w:val="000000"/>
                <w:spacing w:val="0"/>
                <w:w w:val="100"/>
                <w:position w:val="0"/>
                <w:sz w:val="20"/>
                <w:szCs w:val="20"/>
                <w:lang w:eastAsia="zh-CN"/>
              </w:rPr>
              <w:t>、担山北路潮塘江桥</w:t>
            </w:r>
            <w:r>
              <w:rPr>
                <w:rFonts w:hint="eastAsia" w:ascii="仿宋_GB2312" w:hAnsi="仿宋_GB2312" w:eastAsia="仿宋_GB2312" w:cs="仿宋_GB2312"/>
                <w:color w:val="000000"/>
                <w:spacing w:val="0"/>
                <w:w w:val="100"/>
                <w:position w:val="0"/>
                <w:sz w:val="20"/>
                <w:szCs w:val="20"/>
              </w:rPr>
              <w:t>等</w:t>
            </w:r>
            <w:r>
              <w:rPr>
                <w:rFonts w:hint="eastAsia" w:ascii="仿宋_GB2312" w:hAnsi="仿宋_GB2312" w:eastAsia="仿宋_GB2312" w:cs="仿宋_GB2312"/>
                <w:color w:val="000000"/>
                <w:spacing w:val="0"/>
                <w:w w:val="100"/>
                <w:position w:val="0"/>
                <w:sz w:val="20"/>
                <w:szCs w:val="20"/>
                <w:lang w:val="en-US" w:eastAsia="zh-CN"/>
              </w:rPr>
              <w:t>2</w:t>
            </w:r>
            <w:r>
              <w:rPr>
                <w:rFonts w:hint="eastAsia" w:ascii="仿宋_GB2312" w:hAnsi="仿宋_GB2312" w:eastAsia="仿宋_GB2312" w:cs="仿宋_GB2312"/>
                <w:color w:val="000000"/>
                <w:spacing w:val="0"/>
                <w:w w:val="100"/>
                <w:position w:val="0"/>
                <w:sz w:val="20"/>
                <w:szCs w:val="20"/>
              </w:rPr>
              <w:t>座路桥过渡段沉降差过大的桥梁设施实施整改，消除桥头跳车安 全隐患，综合提升桥梁行车舒适度。</w:t>
            </w:r>
          </w:p>
        </w:tc>
        <w:tc>
          <w:tcPr>
            <w:tcW w:w="1416"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both"/>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8月底完成</w:t>
            </w:r>
          </w:p>
        </w:tc>
        <w:tc>
          <w:tcPr>
            <w:tcW w:w="1277"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both"/>
              <w:textAlignment w:val="auto"/>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项其聪</w:t>
            </w:r>
          </w:p>
        </w:tc>
        <w:tc>
          <w:tcPr>
            <w:tcW w:w="1421"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both"/>
              <w:textAlignment w:val="auto"/>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养护所</w:t>
            </w:r>
          </w:p>
        </w:tc>
        <w:tc>
          <w:tcPr>
            <w:tcW w:w="1786" w:type="dxa"/>
            <w:tcBorders>
              <w:top w:val="single" w:color="auto" w:sz="4" w:space="0"/>
              <w:left w:val="single" w:color="auto" w:sz="4" w:space="0"/>
              <w:right w:val="single" w:color="auto" w:sz="4" w:space="0"/>
            </w:tcBorders>
            <w:shd w:val="clear" w:color="auto" w:fill="FFFFFF"/>
            <w:vAlign w:val="bottom"/>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center"/>
              <w:textAlignment w:val="auto"/>
              <w:rPr>
                <w:rFonts w:hint="eastAsia" w:ascii="仿宋_GB2312" w:hAnsi="仿宋_GB2312" w:eastAsia="仿宋_GB2312" w:cs="仿宋_GB2312"/>
                <w:sz w:val="20"/>
                <w:szCs w:val="20"/>
              </w:rPr>
            </w:pPr>
          </w:p>
        </w:tc>
      </w:tr>
      <w:tr>
        <w:tblPrEx>
          <w:tblCellMar>
            <w:top w:w="0" w:type="dxa"/>
            <w:left w:w="10" w:type="dxa"/>
            <w:bottom w:w="0" w:type="dxa"/>
            <w:right w:w="10" w:type="dxa"/>
          </w:tblCellMar>
        </w:tblPrEx>
        <w:trPr>
          <w:trHeight w:val="1210" w:hRule="exact"/>
          <w:jc w:val="center"/>
        </w:trPr>
        <w:tc>
          <w:tcPr>
            <w:tcW w:w="710"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eastAsia="zh-CN"/>
              </w:rPr>
            </w:pPr>
            <w:r>
              <w:rPr>
                <w:rFonts w:hint="eastAsia" w:ascii="仿宋_GB2312" w:hAnsi="仿宋_GB2312" w:eastAsia="仿宋_GB2312" w:cs="仿宋_GB2312"/>
                <w:color w:val="000000"/>
                <w:spacing w:val="0"/>
                <w:w w:val="100"/>
                <w:position w:val="0"/>
                <w:sz w:val="20"/>
                <w:szCs w:val="20"/>
                <w:lang w:val="en-US" w:eastAsia="zh-CN"/>
              </w:rPr>
              <w:t>9</w:t>
            </w:r>
          </w:p>
        </w:tc>
        <w:tc>
          <w:tcPr>
            <w:tcW w:w="710" w:type="dxa"/>
            <w:vMerge w:val="restart"/>
            <w:tcBorders>
              <w:top w:val="single" w:color="auto" w:sz="4" w:space="0"/>
              <w:left w:val="single" w:color="auto" w:sz="4" w:space="0"/>
            </w:tcBorders>
            <w:shd w:val="clear" w:color="auto" w:fill="FFFFFF"/>
            <w:vAlign w:val="top"/>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b/>
                <w:bCs/>
                <w:color w:val="000000"/>
                <w:spacing w:val="0"/>
                <w:w w:val="100"/>
                <w:position w:val="0"/>
                <w:sz w:val="20"/>
                <w:szCs w:val="20"/>
              </w:rPr>
            </w:pPr>
            <w:r>
              <w:rPr>
                <w:rFonts w:hint="eastAsia" w:ascii="仿宋_GB2312" w:hAnsi="仿宋_GB2312" w:eastAsia="仿宋_GB2312" w:cs="仿宋_GB2312"/>
                <w:b/>
                <w:bCs/>
                <w:color w:val="000000"/>
                <w:spacing w:val="0"/>
                <w:w w:val="100"/>
                <w:position w:val="0"/>
                <w:sz w:val="20"/>
                <w:szCs w:val="20"/>
              </w:rPr>
              <w:t>专</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b/>
                <w:bCs/>
                <w:color w:val="000000"/>
                <w:spacing w:val="0"/>
                <w:w w:val="100"/>
                <w:position w:val="0"/>
                <w:sz w:val="20"/>
                <w:szCs w:val="20"/>
              </w:rPr>
            </w:pPr>
            <w:r>
              <w:rPr>
                <w:rFonts w:hint="eastAsia" w:ascii="仿宋_GB2312" w:hAnsi="仿宋_GB2312" w:eastAsia="仿宋_GB2312" w:cs="仿宋_GB2312"/>
                <w:b/>
                <w:bCs/>
                <w:color w:val="000000"/>
                <w:spacing w:val="0"/>
                <w:w w:val="100"/>
                <w:position w:val="0"/>
                <w:sz w:val="20"/>
                <w:szCs w:val="20"/>
              </w:rPr>
              <w:t>项</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b/>
                <w:bCs/>
                <w:color w:val="000000"/>
                <w:spacing w:val="0"/>
                <w:w w:val="100"/>
                <w:position w:val="0"/>
                <w:sz w:val="20"/>
                <w:szCs w:val="20"/>
              </w:rPr>
            </w:pPr>
            <w:r>
              <w:rPr>
                <w:rFonts w:hint="eastAsia" w:ascii="仿宋_GB2312" w:hAnsi="仿宋_GB2312" w:eastAsia="仿宋_GB2312" w:cs="仿宋_GB2312"/>
                <w:b/>
                <w:bCs/>
                <w:color w:val="000000"/>
                <w:spacing w:val="0"/>
                <w:w w:val="100"/>
                <w:position w:val="0"/>
                <w:sz w:val="20"/>
                <w:szCs w:val="20"/>
              </w:rPr>
              <w:t>行</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rPr>
            </w:pPr>
            <w:r>
              <w:rPr>
                <w:rFonts w:hint="eastAsia" w:ascii="仿宋_GB2312" w:hAnsi="仿宋_GB2312" w:eastAsia="仿宋_GB2312" w:cs="仿宋_GB2312"/>
                <w:b/>
                <w:bCs/>
                <w:color w:val="000000"/>
                <w:spacing w:val="0"/>
                <w:w w:val="100"/>
                <w:position w:val="0"/>
                <w:sz w:val="20"/>
                <w:szCs w:val="20"/>
              </w:rPr>
              <w:t>动</w:t>
            </w:r>
          </w:p>
        </w:tc>
        <w:tc>
          <w:tcPr>
            <w:tcW w:w="2266"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both"/>
              <w:textAlignment w:val="auto"/>
              <w:rPr>
                <w:rFonts w:hint="eastAsia" w:ascii="仿宋_GB2312" w:hAnsi="仿宋_GB2312" w:eastAsia="仿宋_GB2312" w:cs="仿宋_GB2312"/>
                <w:sz w:val="20"/>
                <w:szCs w:val="20"/>
              </w:rPr>
            </w:pPr>
            <w:r>
              <w:rPr>
                <w:rFonts w:hint="eastAsia" w:ascii="仿宋_GB2312" w:hAnsi="仿宋_GB2312" w:eastAsia="仿宋_GB2312" w:cs="仿宋_GB2312"/>
                <w:color w:val="000000"/>
                <w:spacing w:val="0"/>
                <w:w w:val="100"/>
                <w:position w:val="0"/>
                <w:sz w:val="20"/>
                <w:szCs w:val="20"/>
              </w:rPr>
              <w:t>重要迎宾道品质提升</w:t>
            </w:r>
          </w:p>
        </w:tc>
        <w:tc>
          <w:tcPr>
            <w:tcW w:w="5102"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rPr>
            </w:pPr>
            <w:r>
              <w:rPr>
                <w:rFonts w:hint="eastAsia" w:ascii="仿宋_GB2312" w:hAnsi="仿宋_GB2312" w:eastAsia="仿宋_GB2312" w:cs="仿宋_GB2312"/>
                <w:color w:val="000000"/>
                <w:spacing w:val="0"/>
                <w:w w:val="100"/>
                <w:position w:val="0"/>
                <w:sz w:val="20"/>
                <w:szCs w:val="20"/>
              </w:rPr>
              <w:t>对南三环（杨梅大道—东三环）路段实施品质提升。</w:t>
            </w:r>
          </w:p>
        </w:tc>
        <w:tc>
          <w:tcPr>
            <w:tcW w:w="1416"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both"/>
              <w:textAlignment w:val="auto"/>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8月底完成</w:t>
            </w:r>
          </w:p>
        </w:tc>
        <w:tc>
          <w:tcPr>
            <w:tcW w:w="1277"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both"/>
              <w:textAlignment w:val="auto"/>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项其聪</w:t>
            </w:r>
          </w:p>
        </w:tc>
        <w:tc>
          <w:tcPr>
            <w:tcW w:w="1421" w:type="dxa"/>
            <w:tcBorders>
              <w:top w:val="single" w:color="auto" w:sz="4" w:space="0"/>
              <w:lef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both"/>
              <w:textAlignment w:val="auto"/>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养护所</w:t>
            </w:r>
          </w:p>
        </w:tc>
        <w:tc>
          <w:tcPr>
            <w:tcW w:w="1786" w:type="dxa"/>
            <w:tcBorders>
              <w:top w:val="single" w:color="auto" w:sz="4" w:space="0"/>
              <w:left w:val="single" w:color="auto" w:sz="4" w:space="0"/>
              <w:right w:val="single" w:color="auto" w:sz="4" w:space="0"/>
            </w:tcBorders>
            <w:shd w:val="clear" w:color="auto" w:fill="FFFFFF"/>
            <w:vAlign w:val="bottom"/>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center"/>
              <w:textAlignment w:val="auto"/>
              <w:rPr>
                <w:rFonts w:hint="eastAsia" w:ascii="仿宋_GB2312" w:hAnsi="仿宋_GB2312" w:eastAsia="仿宋_GB2312" w:cs="仿宋_GB2312"/>
                <w:sz w:val="20"/>
                <w:szCs w:val="20"/>
              </w:rPr>
            </w:pPr>
          </w:p>
        </w:tc>
      </w:tr>
      <w:tr>
        <w:tblPrEx>
          <w:tblCellMar>
            <w:top w:w="0" w:type="dxa"/>
            <w:left w:w="10" w:type="dxa"/>
            <w:bottom w:w="0" w:type="dxa"/>
            <w:right w:w="10" w:type="dxa"/>
          </w:tblCellMar>
        </w:tblPrEx>
        <w:trPr>
          <w:trHeight w:val="1536" w:hRule="exact"/>
          <w:jc w:val="center"/>
        </w:trPr>
        <w:tc>
          <w:tcPr>
            <w:tcW w:w="710" w:type="dxa"/>
            <w:tcBorders>
              <w:top w:val="single" w:color="auto" w:sz="4" w:space="0"/>
              <w:left w:val="single" w:color="auto" w:sz="4" w:space="0"/>
              <w:bottom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sz w:val="20"/>
                <w:szCs w:val="20"/>
                <w:lang w:eastAsia="zh-CN"/>
              </w:rPr>
            </w:pPr>
            <w:r>
              <w:rPr>
                <w:rFonts w:hint="eastAsia" w:ascii="仿宋_GB2312" w:hAnsi="仿宋_GB2312" w:eastAsia="仿宋_GB2312" w:cs="仿宋_GB2312"/>
                <w:color w:val="000000"/>
                <w:spacing w:val="0"/>
                <w:w w:val="100"/>
                <w:position w:val="0"/>
                <w:sz w:val="20"/>
                <w:szCs w:val="20"/>
              </w:rPr>
              <w:t>1</w:t>
            </w:r>
            <w:r>
              <w:rPr>
                <w:rFonts w:hint="eastAsia" w:ascii="仿宋_GB2312" w:hAnsi="仿宋_GB2312" w:eastAsia="仿宋_GB2312" w:cs="仿宋_GB2312"/>
                <w:color w:val="000000"/>
                <w:spacing w:val="0"/>
                <w:w w:val="100"/>
                <w:position w:val="0"/>
                <w:sz w:val="20"/>
                <w:szCs w:val="20"/>
                <w:lang w:val="en-US" w:eastAsia="zh-CN"/>
              </w:rPr>
              <w:t>0</w:t>
            </w:r>
          </w:p>
        </w:tc>
        <w:tc>
          <w:tcPr>
            <w:tcW w:w="710" w:type="dxa"/>
            <w:vMerge w:val="continue"/>
            <w:tcBorders>
              <w:left w:val="single" w:color="auto" w:sz="4" w:space="0"/>
              <w:bottom w:val="single" w:color="auto" w:sz="4" w:space="0"/>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before="0" w:after="0" w:line="240" w:lineRule="auto"/>
              <w:ind w:left="0" w:firstLine="400" w:firstLineChars="200"/>
              <w:jc w:val="center"/>
              <w:textAlignment w:val="auto"/>
              <w:rPr>
                <w:rFonts w:hint="eastAsia" w:ascii="仿宋_GB2312" w:hAnsi="仿宋_GB2312" w:eastAsia="仿宋_GB2312" w:cs="仿宋_GB2312"/>
                <w:sz w:val="20"/>
                <w:szCs w:val="20"/>
              </w:rPr>
            </w:pPr>
          </w:p>
        </w:tc>
        <w:tc>
          <w:tcPr>
            <w:tcW w:w="2266" w:type="dxa"/>
            <w:tcBorders>
              <w:top w:val="single" w:color="auto" w:sz="4" w:space="0"/>
              <w:left w:val="single" w:color="auto" w:sz="4" w:space="0"/>
              <w:bottom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color w:val="000000"/>
                <w:spacing w:val="0"/>
                <w:w w:val="100"/>
                <w:position w:val="0"/>
                <w:sz w:val="20"/>
                <w:szCs w:val="20"/>
              </w:rPr>
            </w:pPr>
            <w:r>
              <w:rPr>
                <w:rFonts w:hint="eastAsia" w:ascii="仿宋_GB2312" w:hAnsi="仿宋_GB2312" w:eastAsia="仿宋_GB2312" w:cs="仿宋_GB2312"/>
                <w:color w:val="000000"/>
                <w:spacing w:val="0"/>
                <w:w w:val="100"/>
                <w:position w:val="0"/>
                <w:sz w:val="20"/>
                <w:szCs w:val="20"/>
              </w:rPr>
              <w:t>“两路两侧”环境秩 序综</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both"/>
              <w:textAlignment w:val="auto"/>
              <w:rPr>
                <w:rFonts w:hint="eastAsia" w:ascii="仿宋_GB2312" w:hAnsi="仿宋_GB2312" w:eastAsia="仿宋_GB2312" w:cs="仿宋_GB2312"/>
                <w:sz w:val="20"/>
                <w:szCs w:val="20"/>
              </w:rPr>
            </w:pPr>
            <w:r>
              <w:rPr>
                <w:rFonts w:hint="eastAsia" w:ascii="仿宋_GB2312" w:hAnsi="仿宋_GB2312" w:eastAsia="仿宋_GB2312" w:cs="仿宋_GB2312"/>
                <w:color w:val="000000"/>
                <w:spacing w:val="0"/>
                <w:w w:val="100"/>
                <w:position w:val="0"/>
                <w:sz w:val="20"/>
                <w:szCs w:val="20"/>
              </w:rPr>
              <w:t>合提升行动</w:t>
            </w:r>
          </w:p>
        </w:tc>
        <w:tc>
          <w:tcPr>
            <w:tcW w:w="5102" w:type="dxa"/>
            <w:tcBorders>
              <w:top w:val="single" w:color="auto" w:sz="4" w:space="0"/>
              <w:left w:val="single" w:color="auto" w:sz="4" w:space="0"/>
              <w:bottom w:val="single" w:color="auto" w:sz="4" w:space="0"/>
            </w:tcBorders>
            <w:shd w:val="clear" w:color="auto" w:fill="FFFFFF"/>
            <w:vAlign w:val="bottom"/>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color w:val="000000"/>
                <w:spacing w:val="0"/>
                <w:w w:val="100"/>
                <w:position w:val="0"/>
                <w:sz w:val="20"/>
                <w:szCs w:val="20"/>
              </w:rPr>
            </w:pPr>
            <w:r>
              <w:rPr>
                <w:rFonts w:hint="eastAsia" w:ascii="仿宋_GB2312" w:hAnsi="仿宋_GB2312" w:eastAsia="仿宋_GB2312" w:cs="仿宋_GB2312"/>
                <w:color w:val="000000"/>
                <w:spacing w:val="0"/>
                <w:w w:val="100"/>
                <w:position w:val="0"/>
                <w:sz w:val="20"/>
                <w:szCs w:val="20"/>
                <w:lang w:eastAsia="zh-CN"/>
              </w:rPr>
              <w:t>开展</w:t>
            </w:r>
            <w:r>
              <w:rPr>
                <w:rFonts w:hint="eastAsia" w:ascii="仿宋_GB2312" w:hAnsi="仿宋_GB2312" w:eastAsia="仿宋_GB2312" w:cs="仿宋_GB2312"/>
                <w:color w:val="000000"/>
                <w:spacing w:val="0"/>
                <w:w w:val="100"/>
                <w:position w:val="0"/>
                <w:sz w:val="20"/>
                <w:szCs w:val="20"/>
              </w:rPr>
              <w:t>“两路两侧”环境秩序综合提升行动</w:t>
            </w:r>
            <w:r>
              <w:rPr>
                <w:rFonts w:hint="eastAsia" w:ascii="仿宋_GB2312" w:hAnsi="仿宋_GB2312" w:eastAsia="仿宋_GB2312" w:cs="仿宋_GB2312"/>
                <w:color w:val="000000"/>
                <w:spacing w:val="0"/>
                <w:w w:val="100"/>
                <w:position w:val="0"/>
                <w:sz w:val="20"/>
                <w:szCs w:val="20"/>
                <w:lang w:eastAsia="zh-CN"/>
              </w:rPr>
              <w:t>。</w:t>
            </w:r>
            <w:r>
              <w:rPr>
                <w:rFonts w:hint="eastAsia" w:ascii="仿宋_GB2312" w:hAnsi="仿宋_GB2312" w:eastAsia="仿宋_GB2312" w:cs="仿宋_GB2312"/>
                <w:color w:val="000000"/>
                <w:spacing w:val="0"/>
                <w:w w:val="100"/>
                <w:position w:val="0"/>
                <w:sz w:val="20"/>
                <w:szCs w:val="20"/>
              </w:rPr>
              <w:t>对G15沈海高速、胜陆高架、G329舟鲁线慈溪段、老329国道等主要道路两侧沿线环境问题和违法建筑问题进行全面排查整治，确保重点区域两路两侧可视范围内环境有序，违法建筑应拆尽拆。</w:t>
            </w:r>
          </w:p>
        </w:tc>
        <w:tc>
          <w:tcPr>
            <w:tcW w:w="1416" w:type="dxa"/>
            <w:tcBorders>
              <w:top w:val="single" w:color="auto" w:sz="4" w:space="0"/>
              <w:left w:val="single" w:color="auto" w:sz="4" w:space="0"/>
              <w:bottom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both"/>
              <w:textAlignment w:val="auto"/>
              <w:rPr>
                <w:rFonts w:hint="eastAsia" w:ascii="仿宋_GB2312" w:hAnsi="仿宋_GB2312" w:eastAsia="仿宋_GB2312" w:cs="仿宋_GB2312"/>
                <w:color w:val="000000"/>
                <w:spacing w:val="0"/>
                <w:w w:val="100"/>
                <w:position w:val="0"/>
                <w:sz w:val="20"/>
                <w:szCs w:val="20"/>
                <w:lang w:val="en-US" w:eastAsia="zh-CN"/>
              </w:rPr>
            </w:pPr>
            <w:r>
              <w:rPr>
                <w:rFonts w:hint="eastAsia" w:ascii="仿宋_GB2312" w:hAnsi="仿宋_GB2312" w:eastAsia="仿宋_GB2312" w:cs="仿宋_GB2312"/>
                <w:color w:val="000000"/>
                <w:spacing w:val="0"/>
                <w:w w:val="100"/>
                <w:position w:val="0"/>
                <w:sz w:val="20"/>
                <w:szCs w:val="20"/>
                <w:lang w:val="en-US" w:eastAsia="zh-CN"/>
              </w:rPr>
              <w:t>4月底完成</w:t>
            </w:r>
          </w:p>
        </w:tc>
        <w:tc>
          <w:tcPr>
            <w:tcW w:w="1277" w:type="dxa"/>
            <w:tcBorders>
              <w:top w:val="single" w:color="auto" w:sz="4" w:space="0"/>
              <w:left w:val="single" w:color="auto" w:sz="4" w:space="0"/>
              <w:bottom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both"/>
              <w:textAlignment w:val="auto"/>
              <w:rPr>
                <w:rFonts w:hint="eastAsia" w:ascii="仿宋_GB2312" w:hAnsi="仿宋_GB2312" w:eastAsia="仿宋_GB2312" w:cs="仿宋_GB2312"/>
                <w:color w:val="000000"/>
                <w:spacing w:val="0"/>
                <w:w w:val="100"/>
                <w:position w:val="0"/>
                <w:sz w:val="20"/>
                <w:szCs w:val="20"/>
                <w:lang w:eastAsia="zh-CN"/>
              </w:rPr>
            </w:pPr>
            <w:r>
              <w:rPr>
                <w:rFonts w:hint="eastAsia" w:ascii="仿宋_GB2312" w:hAnsi="仿宋_GB2312" w:eastAsia="仿宋_GB2312" w:cs="仿宋_GB2312"/>
                <w:color w:val="000000"/>
                <w:spacing w:val="0"/>
                <w:w w:val="100"/>
                <w:position w:val="0"/>
                <w:sz w:val="20"/>
                <w:szCs w:val="20"/>
                <w:lang w:eastAsia="zh-CN"/>
              </w:rPr>
              <w:t>项其聪</w:t>
            </w:r>
          </w:p>
        </w:tc>
        <w:tc>
          <w:tcPr>
            <w:tcW w:w="1421" w:type="dxa"/>
            <w:tcBorders>
              <w:top w:val="single" w:color="auto" w:sz="4" w:space="0"/>
              <w:left w:val="single" w:color="auto" w:sz="4" w:space="0"/>
              <w:bottom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jc w:val="center"/>
              <w:textAlignment w:val="auto"/>
              <w:rPr>
                <w:rFonts w:hint="eastAsia" w:ascii="仿宋_GB2312" w:hAnsi="仿宋_GB2312" w:eastAsia="仿宋_GB2312" w:cs="仿宋_GB2312"/>
                <w:color w:val="000000"/>
                <w:spacing w:val="0"/>
                <w:w w:val="100"/>
                <w:position w:val="0"/>
                <w:sz w:val="20"/>
                <w:szCs w:val="20"/>
                <w:lang w:val="en-US" w:eastAsia="zh-CN"/>
              </w:rPr>
            </w:pPr>
            <w:r>
              <w:rPr>
                <w:rFonts w:hint="eastAsia" w:ascii="仿宋_GB2312" w:hAnsi="仿宋_GB2312" w:eastAsia="仿宋_GB2312" w:cs="仿宋_GB2312"/>
                <w:color w:val="000000"/>
                <w:spacing w:val="0"/>
                <w:w w:val="100"/>
                <w:position w:val="0"/>
                <w:sz w:val="20"/>
                <w:szCs w:val="20"/>
                <w:lang w:eastAsia="zh-CN"/>
              </w:rPr>
              <w:t>市“三改一拆”办</w:t>
            </w:r>
          </w:p>
        </w:tc>
        <w:tc>
          <w:tcPr>
            <w:tcW w:w="178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center"/>
              <w:textAlignment w:val="auto"/>
              <w:rPr>
                <w:rFonts w:hint="eastAsia" w:ascii="仿宋_GB2312" w:hAnsi="仿宋_GB2312" w:eastAsia="仿宋_GB2312" w:cs="仿宋_GB2312"/>
                <w:color w:val="000000"/>
                <w:spacing w:val="0"/>
                <w:w w:val="100"/>
                <w:position w:val="0"/>
                <w:sz w:val="20"/>
                <w:szCs w:val="20"/>
                <w:lang w:eastAsia="zh-CN"/>
              </w:rPr>
            </w:pPr>
            <w:r>
              <w:rPr>
                <w:rFonts w:hint="eastAsia" w:ascii="仿宋_GB2312" w:hAnsi="仿宋_GB2312" w:eastAsia="仿宋_GB2312" w:cs="仿宋_GB2312"/>
                <w:color w:val="000000"/>
                <w:spacing w:val="0"/>
                <w:w w:val="100"/>
                <w:position w:val="0"/>
                <w:sz w:val="20"/>
                <w:szCs w:val="20"/>
                <w:lang w:eastAsia="zh-CN"/>
              </w:rPr>
              <w:t>各镇（街道）</w:t>
            </w:r>
          </w:p>
        </w:tc>
      </w:tr>
    </w:tbl>
    <w:p>
      <w:pPr>
        <w:pStyle w:val="15"/>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left"/>
        <w:textAlignment w:val="auto"/>
        <w:rPr>
          <w:rFonts w:hint="eastAsia" w:ascii="仿宋_GB2312" w:hAnsi="仿宋_GB2312" w:eastAsia="仿宋_GB2312" w:cs="仿宋_GB2312"/>
          <w:color w:val="000000"/>
          <w:spacing w:val="0"/>
          <w:w w:val="100"/>
          <w:position w:val="0"/>
          <w:sz w:val="20"/>
          <w:szCs w:val="20"/>
        </w:rPr>
      </w:pPr>
    </w:p>
    <w:p>
      <w:pPr>
        <w:pStyle w:val="15"/>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left"/>
        <w:textAlignment w:val="auto"/>
        <w:rPr>
          <w:rFonts w:hint="eastAsia" w:ascii="仿宋_GB2312" w:hAnsi="仿宋_GB2312" w:eastAsia="仿宋_GB2312" w:cs="仿宋_GB2312"/>
          <w:color w:val="000000"/>
          <w:spacing w:val="0"/>
          <w:w w:val="100"/>
          <w:position w:val="0"/>
          <w:sz w:val="20"/>
          <w:szCs w:val="20"/>
        </w:rPr>
      </w:pPr>
    </w:p>
    <w:p>
      <w:pPr>
        <w:pStyle w:val="15"/>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left"/>
        <w:textAlignment w:val="auto"/>
        <w:rPr>
          <w:rFonts w:hint="eastAsia" w:ascii="仿宋_GB2312" w:hAnsi="仿宋_GB2312" w:eastAsia="仿宋_GB2312" w:cs="仿宋_GB2312"/>
          <w:color w:val="000000"/>
          <w:spacing w:val="0"/>
          <w:w w:val="100"/>
          <w:position w:val="0"/>
          <w:sz w:val="20"/>
          <w:szCs w:val="20"/>
        </w:rPr>
      </w:pPr>
    </w:p>
    <w:p>
      <w:pPr>
        <w:pStyle w:val="15"/>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left"/>
        <w:textAlignment w:val="auto"/>
        <w:rPr>
          <w:rFonts w:hint="eastAsia" w:ascii="仿宋_GB2312" w:hAnsi="仿宋_GB2312" w:eastAsia="仿宋_GB2312" w:cs="仿宋_GB2312"/>
          <w:color w:val="000000"/>
          <w:spacing w:val="0"/>
          <w:w w:val="100"/>
          <w:position w:val="0"/>
          <w:sz w:val="20"/>
          <w:szCs w:val="20"/>
        </w:rPr>
      </w:pPr>
    </w:p>
    <w:p>
      <w:pPr>
        <w:pStyle w:val="15"/>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left"/>
        <w:textAlignment w:val="auto"/>
        <w:rPr>
          <w:rFonts w:hint="eastAsia" w:ascii="仿宋_GB2312" w:hAnsi="仿宋_GB2312" w:eastAsia="仿宋_GB2312" w:cs="仿宋_GB2312"/>
          <w:color w:val="000000"/>
          <w:spacing w:val="0"/>
          <w:w w:val="100"/>
          <w:position w:val="0"/>
          <w:sz w:val="20"/>
          <w:szCs w:val="20"/>
        </w:rPr>
      </w:pPr>
    </w:p>
    <w:p>
      <w:pPr>
        <w:pStyle w:val="15"/>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left"/>
        <w:textAlignment w:val="auto"/>
        <w:rPr>
          <w:rFonts w:hint="eastAsia" w:ascii="仿宋_GB2312" w:hAnsi="仿宋_GB2312" w:eastAsia="仿宋_GB2312" w:cs="仿宋_GB2312"/>
          <w:color w:val="000000"/>
          <w:spacing w:val="0"/>
          <w:w w:val="100"/>
          <w:position w:val="0"/>
          <w:sz w:val="20"/>
          <w:szCs w:val="20"/>
        </w:rPr>
      </w:pPr>
    </w:p>
    <w:p>
      <w:pPr>
        <w:pStyle w:val="15"/>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left"/>
        <w:textAlignment w:val="auto"/>
        <w:rPr>
          <w:rFonts w:hint="eastAsia" w:ascii="仿宋_GB2312" w:hAnsi="仿宋_GB2312" w:eastAsia="仿宋_GB2312" w:cs="仿宋_GB2312"/>
          <w:color w:val="000000"/>
          <w:spacing w:val="0"/>
          <w:w w:val="100"/>
          <w:position w:val="0"/>
          <w:sz w:val="20"/>
          <w:szCs w:val="20"/>
        </w:rPr>
      </w:pPr>
    </w:p>
    <w:p>
      <w:pPr>
        <w:rPr>
          <w:rFonts w:hint="eastAsia"/>
        </w:rPr>
        <w:sectPr>
          <w:footerReference r:id="rId5" w:type="default"/>
          <w:footerReference r:id="rId6" w:type="even"/>
          <w:footnotePr>
            <w:numFmt w:val="decimal"/>
          </w:footnotePr>
          <w:pgSz w:w="16840" w:h="11900" w:orient="landscape"/>
          <w:pgMar w:top="1530" w:right="1133" w:bottom="1592" w:left="1018" w:header="0" w:footer="3" w:gutter="0"/>
          <w:pgNumType w:fmt="numberInDash"/>
          <w:cols w:space="720" w:num="1"/>
          <w:rtlGutter w:val="0"/>
          <w:docGrid w:linePitch="360" w:charSpace="0"/>
        </w:sectPr>
      </w:pPr>
    </w:p>
    <w:p>
      <w:pPr>
        <w:rPr>
          <w:lang w:val="en-US" w:eastAsia="en-US"/>
        </w:rPr>
      </w:pPr>
    </w:p>
    <w:sectPr>
      <w:footerReference r:id="rId7" w:type="default"/>
      <w:footerReference r:id="rId8" w:type="even"/>
      <w:footnotePr>
        <w:numFmt w:val="decimal"/>
      </w:footnotePr>
      <w:pgSz w:w="11900" w:h="16840"/>
      <w:pgMar w:top="1440" w:right="1800" w:bottom="1440" w:left="1800" w:header="0" w:footer="3" w:gutter="0"/>
      <w:pgNumType w:fmt="numberInDash"/>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_HKSCS">
    <w:panose1 w:val="02020500000000000000"/>
    <w:charset w:val="88"/>
    <w:family w:val="auto"/>
    <w:pitch w:val="default"/>
    <w:sig w:usb0="A00002FF" w:usb1="38CFFCFA" w:usb2="00000016" w:usb3="00000000" w:csb0="00100001" w:csb1="00000000"/>
  </w:font>
  <w:font w:name="Cambria">
    <w:panose1 w:val="02040503050406030204"/>
    <w:charset w:val="00"/>
    <w:family w:val="auto"/>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- 13 -</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- 13 -</w:t>
                    </w:r>
                    <w:r>
                      <w:rPr>
                        <w:rFonts w:hint="eastAsia" w:eastAsia="宋体"/>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- 12 -</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- 12 -</w:t>
                    </w:r>
                    <w:r>
                      <w:rPr>
                        <w:rFonts w:hint="eastAsia" w:eastAsia="宋体"/>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- 1 -</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9tdHoS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M9tdHoSAgAAFQ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- 1 -</w:t>
                    </w:r>
                    <w:r>
                      <w:rPr>
                        <w:rFonts w:hint="eastAsia" w:eastAsia="宋体"/>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- 22 -</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TvZE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BIk72REwIAABUEAAAOAAAAAAAAAAEA&#10;IAAAAB8BAABkcnMvZTJvRG9jLnhtbFBLBQYAAAAABgAGAFkBAACk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- 22 -</w:t>
                    </w:r>
                    <w:r>
                      <w:rPr>
                        <w:rFonts w:hint="eastAsia" w:eastAsia="宋体"/>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evenAndOddHeaders w:val="1"/>
  <w:drawingGridHorizontalSpacing w:val="181"/>
  <w:drawingGridVerticalSpacing w:val="181"/>
  <w:displayHorizontalDrawingGridEvery w:val="1"/>
  <w:displayVerticalDrawingGridEvery w:val="1"/>
  <w:noPunctuationKerning w:val="1"/>
  <w:characterSpacingControl w:val="compressPunctuation"/>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5"/>
  </w:compat>
  <w:rsids>
    <w:rsidRoot w:val="00000000"/>
    <w:rsid w:val="120D7EC2"/>
    <w:rsid w:val="14AB4BF8"/>
    <w:rsid w:val="19803344"/>
    <w:rsid w:val="1E686E02"/>
    <w:rsid w:val="27B21DA2"/>
    <w:rsid w:val="32675A13"/>
    <w:rsid w:val="363127ED"/>
    <w:rsid w:val="41AA0FFA"/>
    <w:rsid w:val="47564EE0"/>
    <w:rsid w:val="4A2B209C"/>
    <w:rsid w:val="5E602F64"/>
    <w:rsid w:val="5EBB174B"/>
    <w:rsid w:val="68514B37"/>
    <w:rsid w:val="6EA90FD9"/>
    <w:rsid w:val="70652593"/>
    <w:rsid w:val="79D729B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MingLiU_HKSCS" w:hAnsi="MingLiU_HKSCS" w:eastAsia="MingLiU_HKSCS" w:cs="MingLiU_HKSCS"/>
      <w:color w:val="000000"/>
      <w:spacing w:val="0"/>
      <w:w w:val="100"/>
      <w:position w:val="0"/>
      <w:sz w:val="24"/>
      <w:szCs w:val="24"/>
      <w:shd w:val="clear" w:color="auto" w:fill="auto"/>
      <w:lang w:val="en-US" w:eastAsia="en-US" w:bidi="en-US"/>
    </w:rPr>
  </w:style>
  <w:style w:type="character" w:default="1" w:styleId="5">
    <w:name w:val="Default Paragraph Font"/>
    <w:qFormat/>
    <w:uiPriority w:val="0"/>
    <w:rPr>
      <w:rFonts w:ascii="MingLiU_HKSCS" w:hAnsi="MingLiU_HKSCS" w:eastAsia="MingLiU_HKSCS" w:cs="MingLiU_HKSCS"/>
      <w:color w:val="000000"/>
      <w:spacing w:val="0"/>
      <w:w w:val="100"/>
      <w:position w:val="0"/>
      <w:sz w:val="24"/>
      <w:szCs w:val="24"/>
      <w:shd w:val="clear" w:color="auto" w:fill="auto"/>
    </w:rPr>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正文文本 (5)_"/>
    <w:basedOn w:val="5"/>
    <w:link w:val="7"/>
    <w:qFormat/>
    <w:uiPriority w:val="0"/>
    <w:rPr>
      <w:rFonts w:ascii="宋体" w:hAnsi="宋体" w:eastAsia="宋体" w:cs="宋体"/>
      <w:color w:val="FD0000"/>
      <w:sz w:val="88"/>
      <w:szCs w:val="88"/>
      <w:u w:val="none"/>
      <w:shd w:val="clear" w:color="auto" w:fill="auto"/>
    </w:rPr>
  </w:style>
  <w:style w:type="paragraph" w:customStyle="1" w:styleId="7">
    <w:name w:val="正文文本 (5)"/>
    <w:basedOn w:val="1"/>
    <w:link w:val="6"/>
    <w:qFormat/>
    <w:uiPriority w:val="0"/>
    <w:pPr>
      <w:widowControl w:val="0"/>
      <w:shd w:val="clear" w:color="auto" w:fill="auto"/>
      <w:spacing w:after="1180"/>
      <w:ind w:firstLine="200"/>
    </w:pPr>
    <w:rPr>
      <w:rFonts w:ascii="宋体" w:hAnsi="宋体" w:eastAsia="宋体" w:cs="宋体"/>
      <w:color w:val="FD0000"/>
      <w:sz w:val="88"/>
      <w:szCs w:val="88"/>
      <w:u w:val="none"/>
      <w:shd w:val="clear" w:color="auto" w:fill="auto"/>
    </w:rPr>
  </w:style>
  <w:style w:type="character" w:customStyle="1" w:styleId="8">
    <w:name w:val="正文文本_"/>
    <w:basedOn w:val="5"/>
    <w:link w:val="9"/>
    <w:qFormat/>
    <w:uiPriority w:val="0"/>
    <w:rPr>
      <w:rFonts w:ascii="宋体" w:hAnsi="宋体" w:eastAsia="宋体" w:cs="宋体"/>
      <w:sz w:val="30"/>
      <w:szCs w:val="30"/>
      <w:u w:val="none"/>
      <w:shd w:val="clear" w:color="auto" w:fill="auto"/>
    </w:rPr>
  </w:style>
  <w:style w:type="paragraph" w:customStyle="1" w:styleId="9">
    <w:name w:val="正文文本1"/>
    <w:basedOn w:val="1"/>
    <w:link w:val="8"/>
    <w:qFormat/>
    <w:uiPriority w:val="0"/>
    <w:pPr>
      <w:widowControl w:val="0"/>
      <w:shd w:val="clear" w:color="auto" w:fill="auto"/>
      <w:spacing w:line="408" w:lineRule="auto"/>
      <w:ind w:firstLine="400"/>
    </w:pPr>
    <w:rPr>
      <w:rFonts w:ascii="宋体" w:hAnsi="宋体" w:eastAsia="宋体" w:cs="宋体"/>
      <w:sz w:val="30"/>
      <w:szCs w:val="30"/>
      <w:u w:val="none"/>
      <w:shd w:val="clear" w:color="auto" w:fill="auto"/>
    </w:rPr>
  </w:style>
  <w:style w:type="character" w:customStyle="1" w:styleId="10">
    <w:name w:val="正文文本 (2)_"/>
    <w:basedOn w:val="5"/>
    <w:link w:val="11"/>
    <w:qFormat/>
    <w:uiPriority w:val="0"/>
    <w:rPr>
      <w:rFonts w:ascii="宋体" w:hAnsi="宋体" w:eastAsia="宋体" w:cs="宋体"/>
      <w:sz w:val="42"/>
      <w:szCs w:val="42"/>
      <w:u w:val="none"/>
      <w:shd w:val="clear" w:color="auto" w:fill="auto"/>
    </w:rPr>
  </w:style>
  <w:style w:type="paragraph" w:customStyle="1" w:styleId="11">
    <w:name w:val="正文文本 (2)"/>
    <w:basedOn w:val="1"/>
    <w:link w:val="10"/>
    <w:qFormat/>
    <w:uiPriority w:val="0"/>
    <w:pPr>
      <w:widowControl w:val="0"/>
      <w:shd w:val="clear" w:color="auto" w:fill="auto"/>
      <w:spacing w:after="340" w:line="705" w:lineRule="exact"/>
      <w:jc w:val="center"/>
    </w:pPr>
    <w:rPr>
      <w:rFonts w:ascii="宋体" w:hAnsi="宋体" w:eastAsia="宋体" w:cs="宋体"/>
      <w:sz w:val="42"/>
      <w:szCs w:val="42"/>
      <w:u w:val="none"/>
      <w:shd w:val="clear" w:color="auto" w:fill="auto"/>
    </w:rPr>
  </w:style>
  <w:style w:type="character" w:customStyle="1" w:styleId="12">
    <w:name w:val="页眉或页脚 (2)_"/>
    <w:basedOn w:val="5"/>
    <w:link w:val="13"/>
    <w:qFormat/>
    <w:uiPriority w:val="0"/>
    <w:rPr>
      <w:rFonts w:ascii="Times New Roman" w:hAnsi="Times New Roman" w:eastAsia="Times New Roman" w:cs="Times New Roman"/>
      <w:sz w:val="20"/>
      <w:szCs w:val="20"/>
      <w:u w:val="none"/>
      <w:shd w:val="clear" w:color="auto" w:fill="auto"/>
    </w:rPr>
  </w:style>
  <w:style w:type="paragraph" w:customStyle="1" w:styleId="13">
    <w:name w:val="页眉或页脚 (2)"/>
    <w:basedOn w:val="1"/>
    <w:link w:val="12"/>
    <w:qFormat/>
    <w:uiPriority w:val="0"/>
    <w:pPr>
      <w:widowControl w:val="0"/>
      <w:shd w:val="clear" w:color="auto" w:fill="auto"/>
    </w:pPr>
    <w:rPr>
      <w:rFonts w:ascii="Times New Roman" w:hAnsi="Times New Roman" w:eastAsia="Times New Roman" w:cs="Times New Roman"/>
      <w:sz w:val="20"/>
      <w:szCs w:val="20"/>
      <w:u w:val="none"/>
      <w:shd w:val="clear" w:color="auto" w:fill="auto"/>
    </w:rPr>
  </w:style>
  <w:style w:type="character" w:customStyle="1" w:styleId="14">
    <w:name w:val="正文文本 (3)_"/>
    <w:basedOn w:val="5"/>
    <w:link w:val="15"/>
    <w:qFormat/>
    <w:uiPriority w:val="0"/>
    <w:rPr>
      <w:rFonts w:ascii="黑体" w:hAnsi="黑体" w:eastAsia="黑体" w:cs="黑体"/>
      <w:sz w:val="32"/>
      <w:szCs w:val="32"/>
      <w:u w:val="none"/>
      <w:shd w:val="clear" w:color="auto" w:fill="auto"/>
    </w:rPr>
  </w:style>
  <w:style w:type="paragraph" w:customStyle="1" w:styleId="15">
    <w:name w:val="正文文本 (3)"/>
    <w:basedOn w:val="1"/>
    <w:link w:val="14"/>
    <w:qFormat/>
    <w:uiPriority w:val="0"/>
    <w:pPr>
      <w:widowControl w:val="0"/>
      <w:shd w:val="clear" w:color="auto" w:fill="auto"/>
      <w:spacing w:after="40" w:line="310" w:lineRule="auto"/>
      <w:ind w:firstLine="480"/>
    </w:pPr>
    <w:rPr>
      <w:rFonts w:ascii="黑体" w:hAnsi="黑体" w:eastAsia="黑体" w:cs="黑体"/>
      <w:sz w:val="32"/>
      <w:szCs w:val="32"/>
      <w:u w:val="none"/>
      <w:shd w:val="clear" w:color="auto" w:fill="auto"/>
    </w:rPr>
  </w:style>
  <w:style w:type="character" w:customStyle="1" w:styleId="16">
    <w:name w:val="标题 #1_"/>
    <w:basedOn w:val="5"/>
    <w:link w:val="17"/>
    <w:qFormat/>
    <w:uiPriority w:val="0"/>
    <w:rPr>
      <w:rFonts w:ascii="宋体" w:hAnsi="宋体" w:eastAsia="宋体" w:cs="宋体"/>
      <w:sz w:val="30"/>
      <w:szCs w:val="30"/>
      <w:u w:val="none"/>
      <w:shd w:val="clear" w:color="auto" w:fill="auto"/>
    </w:rPr>
  </w:style>
  <w:style w:type="paragraph" w:customStyle="1" w:styleId="17">
    <w:name w:val="标题 #1"/>
    <w:basedOn w:val="1"/>
    <w:link w:val="16"/>
    <w:qFormat/>
    <w:uiPriority w:val="0"/>
    <w:pPr>
      <w:widowControl w:val="0"/>
      <w:shd w:val="clear" w:color="auto" w:fill="auto"/>
      <w:spacing w:after="100" w:line="324" w:lineRule="auto"/>
      <w:ind w:firstLine="640"/>
      <w:outlineLvl w:val="0"/>
    </w:pPr>
    <w:rPr>
      <w:rFonts w:ascii="宋体" w:hAnsi="宋体" w:eastAsia="宋体" w:cs="宋体"/>
      <w:sz w:val="30"/>
      <w:szCs w:val="30"/>
      <w:u w:val="none"/>
      <w:shd w:val="clear" w:color="auto" w:fill="auto"/>
    </w:rPr>
  </w:style>
  <w:style w:type="character" w:customStyle="1" w:styleId="18">
    <w:name w:val="其他_"/>
    <w:basedOn w:val="5"/>
    <w:link w:val="19"/>
    <w:qFormat/>
    <w:uiPriority w:val="0"/>
    <w:rPr>
      <w:rFonts w:ascii="宋体" w:hAnsi="宋体" w:eastAsia="宋体" w:cs="宋体"/>
      <w:u w:val="none"/>
      <w:shd w:val="clear" w:color="auto" w:fill="auto"/>
    </w:rPr>
  </w:style>
  <w:style w:type="paragraph" w:customStyle="1" w:styleId="19">
    <w:name w:val="其他"/>
    <w:basedOn w:val="1"/>
    <w:link w:val="18"/>
    <w:qFormat/>
    <w:uiPriority w:val="0"/>
    <w:pPr>
      <w:widowControl w:val="0"/>
      <w:shd w:val="clear" w:color="auto" w:fill="auto"/>
      <w:jc w:val="center"/>
    </w:pPr>
    <w:rPr>
      <w:rFonts w:ascii="宋体" w:hAnsi="宋体" w:eastAsia="宋体" w:cs="宋体"/>
      <w:u w:val="none"/>
      <w:shd w:val="clear" w:color="auto" w:fill="auto"/>
    </w:rPr>
  </w:style>
  <w:style w:type="character" w:customStyle="1" w:styleId="20">
    <w:name w:val="正文文本 (4)_"/>
    <w:basedOn w:val="5"/>
    <w:link w:val="21"/>
    <w:qFormat/>
    <w:uiPriority w:val="0"/>
    <w:rPr>
      <w:rFonts w:ascii="Cambria" w:hAnsi="Cambria" w:eastAsia="Cambria" w:cs="Cambria"/>
      <w:w w:val="80"/>
      <w:sz w:val="30"/>
      <w:szCs w:val="30"/>
      <w:u w:val="none"/>
      <w:shd w:val="clear" w:color="auto" w:fill="auto"/>
    </w:rPr>
  </w:style>
  <w:style w:type="paragraph" w:customStyle="1" w:styleId="21">
    <w:name w:val="正文文本 (4)"/>
    <w:basedOn w:val="1"/>
    <w:link w:val="20"/>
    <w:qFormat/>
    <w:uiPriority w:val="0"/>
    <w:pPr>
      <w:widowControl w:val="0"/>
      <w:shd w:val="clear" w:color="auto" w:fill="auto"/>
    </w:pPr>
    <w:rPr>
      <w:rFonts w:ascii="Cambria" w:hAnsi="Cambria" w:eastAsia="Cambria" w:cs="Cambria"/>
      <w:w w:val="80"/>
      <w:sz w:val="30"/>
      <w:szCs w:val="30"/>
      <w:u w:val="none"/>
      <w:shd w:val="clear" w:color="auto" w:fill="auto"/>
    </w:rPr>
  </w:style>
  <w:style w:type="character" w:customStyle="1" w:styleId="22">
    <w:name w:val="font41"/>
    <w:basedOn w:val="5"/>
    <w:qFormat/>
    <w:uiPriority w:val="0"/>
    <w:rPr>
      <w:rFonts w:hint="eastAsia" w:ascii="仿宋_GB2312" w:eastAsia="仿宋_GB2312" w:cs="仿宋_GB2312"/>
      <w:color w:val="000000"/>
      <w:sz w:val="22"/>
      <w:szCs w:val="22"/>
      <w:u w:val="none"/>
    </w:rPr>
  </w:style>
  <w:style w:type="character" w:customStyle="1" w:styleId="23">
    <w:name w:val="font11"/>
    <w:basedOn w:val="5"/>
    <w:qFormat/>
    <w:uiPriority w:val="0"/>
    <w:rPr>
      <w:rFonts w:hint="eastAsia" w:ascii="仿宋_GB2312" w:eastAsia="仿宋_GB2312" w:cs="仿宋_GB2312"/>
      <w:b/>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Pages>
  <Words>855</Words>
  <Characters>865</Characters>
  <TotalTime>1</TotalTime>
  <ScaleCrop>false</ScaleCrop>
  <LinksUpToDate>false</LinksUpToDate>
  <CharactersWithSpaces>871</CharactersWithSpaces>
  <Application>WPS Office_11.8.2.9015_F1E327BC-269C-435d-A152-05C5408002CA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2022-03-28T06:06:00Z</dcterms:created>
  <dc:creator>user</dc:creator>
  <cp:lastModifiedBy>哈哈</cp:lastModifiedBy>
  <cp:lastPrinted>2022-03-31T01:11:00Z</cp:lastPrinted>
  <dcterms:modified xsi:type="dcterms:W3CDTF">2022-04-06T03:57:11Z</dcterms:modified>
  <dc:title>关于印发《宁波市城市管理与综合执法系统“迎亚运、创典范”市容环境全域提升工作方案》的通知</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y fmtid="{D5CDD505-2E9C-101B-9397-08002B2CF9AE}" pid="3" name="ICV">
    <vt:lpwstr>D07DB4D48F464C998B62AB386D5BD77E</vt:lpwstr>
  </property>
</Properties>
</file>