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977" w:type="dxa"/>
        <w:tblInd w:w="0" w:type="dxa"/>
        <w:tblLayout w:type="autofit"/>
        <w:tblCellMar>
          <w:top w:w="0" w:type="dxa"/>
          <w:left w:w="0" w:type="dxa"/>
          <w:bottom w:w="0" w:type="dxa"/>
          <w:right w:w="0" w:type="dxa"/>
        </w:tblCellMar>
      </w:tblPr>
      <w:tblGrid>
        <w:gridCol w:w="8977"/>
      </w:tblGrid>
      <w:tr>
        <w:tblPrEx>
          <w:tblCellMar>
            <w:top w:w="0" w:type="dxa"/>
            <w:left w:w="0" w:type="dxa"/>
            <w:bottom w:w="0" w:type="dxa"/>
            <w:right w:w="0" w:type="dxa"/>
          </w:tblCellMar>
        </w:tblPrEx>
        <w:tc>
          <w:tcPr>
            <w:tcW w:w="8977" w:type="dxa"/>
            <w:tcMar>
              <w:bottom w:w="0" w:type="dxa"/>
            </w:tcMar>
          </w:tcPr>
          <w:p>
            <w:pPr>
              <w:ind w:right="320"/>
              <w:jc w:val="right"/>
              <w:rPr>
                <w:rFonts w:hint="default" w:eastAsia="仿宋_GB2312"/>
                <w:lang w:val="en-US" w:eastAsia="zh-CN"/>
              </w:rPr>
            </w:pPr>
            <w:bookmarkStart w:id="0" w:name="_GoBack"/>
            <w:bookmarkEnd w:id="0"/>
            <w:r>
              <w:rPr>
                <w:rFonts w:hint="eastAsia" w:ascii="仿宋_GB2312" w:eastAsia="仿宋_GB2312"/>
                <w:sz w:val="32"/>
                <w:szCs w:val="32"/>
                <w:lang w:val="en-US" w:eastAsia="zh-CN"/>
              </w:rPr>
              <w:t xml:space="preserve">   BCXD05</w:t>
            </w:r>
            <w:r>
              <w:rPr>
                <w:rFonts w:ascii="仿宋_GB2312" w:eastAsia="仿宋_GB2312"/>
                <w:sz w:val="32"/>
                <w:szCs w:val="32"/>
              </w:rPr>
              <w:t>-202</w:t>
            </w:r>
            <w:r>
              <w:rPr>
                <w:rFonts w:hint="eastAsia" w:ascii="仿宋_GB2312" w:eastAsia="仿宋_GB2312"/>
                <w:sz w:val="32"/>
                <w:szCs w:val="32"/>
                <w:lang w:val="en-US" w:eastAsia="zh-CN"/>
              </w:rPr>
              <w:t>2</w:t>
            </w:r>
            <w:r>
              <w:rPr>
                <w:rFonts w:ascii="仿宋_GB2312" w:eastAsia="仿宋_GB2312"/>
                <w:sz w:val="32"/>
                <w:szCs w:val="32"/>
              </w:rPr>
              <w:t>-</w:t>
            </w:r>
            <w:r>
              <w:rPr>
                <w:rFonts w:hint="eastAsia" w:ascii="仿宋_GB2312" w:eastAsia="仿宋_GB2312"/>
                <w:sz w:val="32"/>
                <w:szCs w:val="32"/>
                <w:lang w:val="en-US" w:eastAsia="zh-CN"/>
              </w:rPr>
              <w:t>0002</w:t>
            </w:r>
          </w:p>
          <w:tbl>
            <w:tblPr>
              <w:tblStyle w:val="5"/>
              <w:tblW w:w="8148" w:type="dxa"/>
              <w:tblInd w:w="387" w:type="dxa"/>
              <w:tblLayout w:type="autofit"/>
              <w:tblCellMar>
                <w:top w:w="0" w:type="dxa"/>
                <w:left w:w="0" w:type="dxa"/>
                <w:bottom w:w="0" w:type="dxa"/>
                <w:right w:w="0" w:type="dxa"/>
              </w:tblCellMar>
            </w:tblPr>
            <w:tblGrid>
              <w:gridCol w:w="6333"/>
              <w:gridCol w:w="1815"/>
            </w:tblGrid>
            <w:tr>
              <w:tblPrEx>
                <w:tblCellMar>
                  <w:top w:w="0" w:type="dxa"/>
                  <w:left w:w="0" w:type="dxa"/>
                  <w:bottom w:w="0" w:type="dxa"/>
                  <w:right w:w="0" w:type="dxa"/>
                </w:tblCellMar>
              </w:tblPrEx>
              <w:trPr>
                <w:trHeight w:val="1818" w:hRule="atLeast"/>
              </w:trPr>
              <w:tc>
                <w:tcPr>
                  <w:tcW w:w="6333" w:type="dxa"/>
                </w:tcPr>
                <w:p>
                  <w:pPr>
                    <w:jc w:val="distribute"/>
                    <w:rPr>
                      <w:rFonts w:ascii="新宋体" w:hAnsi="新宋体" w:eastAsia="新宋体" w:cs="Times New Roman"/>
                      <w:b/>
                      <w:bCs/>
                      <w:color w:val="FF0000"/>
                      <w:w w:val="90"/>
                      <w:sz w:val="72"/>
                      <w:szCs w:val="72"/>
                    </w:rPr>
                  </w:pPr>
                  <w:r>
                    <w:rPr>
                      <w:rFonts w:hint="eastAsia" w:ascii="新宋体" w:hAnsi="新宋体" w:eastAsia="新宋体" w:cs="新宋体"/>
                      <w:b/>
                      <w:bCs/>
                      <w:color w:val="FF0000"/>
                      <w:w w:val="90"/>
                      <w:sz w:val="72"/>
                      <w:szCs w:val="72"/>
                    </w:rPr>
                    <w:t>慈溪市科学技术局</w:t>
                  </w:r>
                </w:p>
                <w:p>
                  <w:pPr>
                    <w:jc w:val="distribute"/>
                    <w:rPr>
                      <w:rFonts w:ascii="新宋体" w:hAnsi="新宋体" w:eastAsia="新宋体" w:cs="Times New Roman"/>
                      <w:b/>
                      <w:bCs/>
                      <w:color w:val="FF0000"/>
                      <w:w w:val="90"/>
                      <w:sz w:val="72"/>
                      <w:szCs w:val="72"/>
                    </w:rPr>
                  </w:pPr>
                  <w:r>
                    <w:rPr>
                      <w:rFonts w:hint="eastAsia" w:ascii="新宋体" w:hAnsi="新宋体" w:eastAsia="新宋体" w:cs="新宋体"/>
                      <w:b/>
                      <w:bCs/>
                      <w:color w:val="FF0000"/>
                      <w:w w:val="90"/>
                      <w:sz w:val="72"/>
                      <w:szCs w:val="72"/>
                    </w:rPr>
                    <w:t>慈溪市财政局</w:t>
                  </w:r>
                </w:p>
              </w:tc>
              <w:tc>
                <w:tcPr>
                  <w:tcW w:w="1815" w:type="dxa"/>
                  <w:vAlign w:val="center"/>
                </w:tcPr>
                <w:p>
                  <w:pPr>
                    <w:jc w:val="center"/>
                    <w:rPr>
                      <w:rFonts w:ascii="新宋体" w:hAnsi="新宋体" w:eastAsia="新宋体" w:cs="Times New Roman"/>
                      <w:b/>
                      <w:bCs/>
                      <w:color w:val="FF0000"/>
                      <w:w w:val="90"/>
                      <w:sz w:val="72"/>
                      <w:szCs w:val="72"/>
                    </w:rPr>
                  </w:pPr>
                  <w:r>
                    <w:rPr>
                      <w:rFonts w:hint="eastAsia" w:ascii="新宋体" w:hAnsi="新宋体" w:eastAsia="新宋体" w:cs="新宋体"/>
                      <w:b/>
                      <w:bCs/>
                      <w:color w:val="FF0000"/>
                      <w:w w:val="90"/>
                      <w:sz w:val="72"/>
                      <w:szCs w:val="72"/>
                    </w:rPr>
                    <w:t>文件</w:t>
                  </w:r>
                </w:p>
              </w:tc>
            </w:tr>
            <w:tr>
              <w:tblPrEx>
                <w:tblCellMar>
                  <w:top w:w="0" w:type="dxa"/>
                  <w:left w:w="0" w:type="dxa"/>
                  <w:bottom w:w="0" w:type="dxa"/>
                  <w:right w:w="0" w:type="dxa"/>
                </w:tblCellMar>
              </w:tblPrEx>
              <w:trPr>
                <w:trHeight w:val="596" w:hRule="atLeast"/>
              </w:trPr>
              <w:tc>
                <w:tcPr>
                  <w:tcW w:w="8148" w:type="dxa"/>
                  <w:gridSpan w:val="2"/>
                  <w:tcMar>
                    <w:bottom w:w="0" w:type="dxa"/>
                  </w:tcMar>
                </w:tcPr>
                <w:p>
                  <w:pPr>
                    <w:ind w:firstLine="2400" w:firstLineChars="750"/>
                    <w:rPr>
                      <w:rFonts w:ascii="仿宋_GB2312" w:hAnsi="黑体" w:eastAsia="仿宋_GB2312" w:cs="Times New Roman"/>
                      <w:sz w:val="32"/>
                      <w:szCs w:val="32"/>
                    </w:rPr>
                  </w:pPr>
                  <w:r>
                    <w:rPr>
                      <w:rFonts w:hint="eastAsia" w:ascii="仿宋_GB2312" w:hAnsi="黑体" w:eastAsia="仿宋_GB2312" w:cs="仿宋_GB2312"/>
                      <w:sz w:val="32"/>
                      <w:szCs w:val="32"/>
                    </w:rPr>
                    <w:t>慈科〔</w:t>
                  </w:r>
                  <w:r>
                    <w:rPr>
                      <w:rFonts w:ascii="仿宋_GB2312" w:hAnsi="黑体" w:eastAsia="仿宋_GB2312" w:cs="仿宋_GB2312"/>
                      <w:sz w:val="32"/>
                      <w:szCs w:val="32"/>
                    </w:rPr>
                    <w:t>20</w:t>
                  </w:r>
                  <w:r>
                    <w:rPr>
                      <w:rFonts w:hint="eastAsia" w:ascii="仿宋_GB2312" w:hAnsi="黑体" w:eastAsia="仿宋_GB2312" w:cs="仿宋_GB2312"/>
                      <w:sz w:val="32"/>
                      <w:szCs w:val="32"/>
                    </w:rPr>
                    <w:t>2</w:t>
                  </w:r>
                  <w:r>
                    <w:rPr>
                      <w:rFonts w:hint="eastAsia" w:ascii="仿宋_GB2312" w:hAnsi="黑体" w:eastAsia="仿宋_GB2312" w:cs="仿宋_GB2312"/>
                      <w:sz w:val="32"/>
                      <w:szCs w:val="32"/>
                      <w:lang w:val="en-US" w:eastAsia="zh-CN"/>
                    </w:rPr>
                    <w:t>2</w:t>
                  </w:r>
                  <w:r>
                    <w:rPr>
                      <w:rFonts w:hint="eastAsia" w:ascii="仿宋_GB2312" w:hAnsi="黑体" w:eastAsia="仿宋_GB2312" w:cs="仿宋_GB2312"/>
                      <w:sz w:val="32"/>
                      <w:szCs w:val="32"/>
                    </w:rPr>
                    <w:t>〕</w:t>
                  </w:r>
                  <w:r>
                    <w:rPr>
                      <w:rFonts w:hint="eastAsia" w:ascii="仿宋_GB2312" w:hAnsi="黑体" w:eastAsia="仿宋_GB2312" w:cs="仿宋_GB2312"/>
                      <w:sz w:val="32"/>
                      <w:szCs w:val="32"/>
                      <w:lang w:val="en-US" w:eastAsia="zh-CN"/>
                    </w:rPr>
                    <w:t>35</w:t>
                  </w:r>
                  <w:r>
                    <w:rPr>
                      <w:rFonts w:hint="eastAsia" w:ascii="仿宋_GB2312" w:hAnsi="黑体" w:eastAsia="仿宋_GB2312" w:cs="仿宋_GB2312"/>
                      <w:sz w:val="32"/>
                      <w:szCs w:val="32"/>
                    </w:rPr>
                    <w:t>号</w:t>
                  </w:r>
                </w:p>
              </w:tc>
            </w:tr>
          </w:tbl>
          <w:p>
            <w:pPr>
              <w:jc w:val="center"/>
              <w:rPr>
                <w:rFonts w:ascii="仿宋_GB2312" w:hAnsi="黑体" w:eastAsia="仿宋_GB2312" w:cs="Times New Roman"/>
                <w:sz w:val="32"/>
                <w:szCs w:val="32"/>
              </w:rPr>
            </w:pPr>
          </w:p>
        </w:tc>
      </w:tr>
      <w:tr>
        <w:tblPrEx>
          <w:tblCellMar>
            <w:top w:w="0" w:type="dxa"/>
            <w:left w:w="0" w:type="dxa"/>
            <w:bottom w:w="0" w:type="dxa"/>
            <w:right w:w="0" w:type="dxa"/>
          </w:tblCellMar>
        </w:tblPrEx>
        <w:tc>
          <w:tcPr>
            <w:tcW w:w="8977" w:type="dxa"/>
            <w:tcMar>
              <w:bottom w:w="0" w:type="dxa"/>
            </w:tcMar>
          </w:tcPr>
          <w:p>
            <w:pPr>
              <w:ind w:right="640"/>
              <w:rPr>
                <w:rFonts w:ascii="仿宋_GB2312" w:eastAsia="仿宋_GB2312"/>
                <w:sz w:val="32"/>
                <w:szCs w:val="32"/>
              </w:rPr>
            </w:pPr>
            <w:r>
              <w:rPr>
                <w:rFonts w:eastAsia="仿宋"/>
                <w:sz w:val="30"/>
                <w:szCs w:val="24"/>
              </w:rPr>
              <mc:AlternateContent>
                <mc:Choice Requires="wps">
                  <w:drawing>
                    <wp:anchor distT="0" distB="0" distL="114300" distR="114300" simplePos="0" relativeHeight="251659264" behindDoc="0" locked="0" layoutInCell="1" allowOverlap="1">
                      <wp:simplePos x="0" y="0"/>
                      <wp:positionH relativeFrom="column">
                        <wp:posOffset>-53340</wp:posOffset>
                      </wp:positionH>
                      <wp:positionV relativeFrom="paragraph">
                        <wp:posOffset>9525</wp:posOffset>
                      </wp:positionV>
                      <wp:extent cx="5664835" cy="1524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664835" cy="15240"/>
                              </a:xfrm>
                              <a:prstGeom prst="line">
                                <a:avLst/>
                              </a:prstGeom>
                              <a:ln w="25400" cap="flat" cmpd="sng">
                                <a:solidFill>
                                  <a:srgbClr val="FF0000"/>
                                </a:solidFill>
                                <a:prstDash val="solid"/>
                                <a:headEnd type="none" w="med" len="med"/>
                                <a:tailEnd type="none" w="med" len="med"/>
                              </a:ln>
                              <a:effectLst/>
                            </wps:spPr>
                            <wps:bodyPr upright="1"/>
                          </wps:wsp>
                        </a:graphicData>
                      </a:graphic>
                    </wp:anchor>
                  </w:drawing>
                </mc:Choice>
                <mc:Fallback>
                  <w:pict>
                    <v:line id="Straight Connector 1" o:spid="_x0000_s1026" o:spt="20" style="position:absolute;left:0pt;margin-left:-4.2pt;margin-top:0.75pt;height:1.2pt;width:446.05pt;z-index:251659264;mso-width-relative:page;mso-height-relative:page;" filled="f" stroked="t" coordsize="21600,21600" o:gfxdata="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2zAovUAAAABgEAAA8AAAAAAAAAAQAgAAAAIgAAAGRycy9kb3ducmV2LnhtbFBLAQIUABQAAAAI&#10;AIdO4kCif8Qz8QEAAPoDAAAOAAAAAAAAAAEAIAAAACMBAABkcnMvZTJvRG9jLnhtbFBLBQYAAAAA&#10;BgAGAFkBAACGBQAAAAA=&#10;">
                      <v:fill on="f" focussize="0,0"/>
                      <v:stroke weight="2pt" color="#FF0000" joinstyle="round"/>
                      <v:imagedata o:title=""/>
                      <o:lock v:ext="edit" aspectratio="f"/>
                    </v:line>
                  </w:pict>
                </mc:Fallback>
              </mc:AlternateConten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黑体" w:eastAsia="方正小标宋简体"/>
          <w:bCs/>
          <w:sz w:val="44"/>
          <w:szCs w:val="44"/>
        </w:rPr>
      </w:pPr>
      <w:r>
        <w:rPr>
          <w:rFonts w:hint="eastAsia" w:ascii="方正小标宋简体" w:hAnsi="黑体" w:eastAsia="方正小标宋简体"/>
          <w:bCs/>
          <w:sz w:val="44"/>
          <w:szCs w:val="44"/>
        </w:rPr>
        <w:t>关于印发《慈溪市创新券推广应用管理办法（修订）》的通知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Cs/>
          <w:sz w:val="36"/>
          <w:szCs w:val="36"/>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仿宋_GB2312" w:eastAsia="仿宋_GB2312"/>
          <w:sz w:val="32"/>
          <w:szCs w:val="32"/>
        </w:rPr>
      </w:pPr>
      <w:r>
        <w:rPr>
          <w:rFonts w:hint="eastAsia" w:ascii="仿宋_GB2312" w:eastAsia="仿宋_GB2312"/>
          <w:sz w:val="32"/>
          <w:szCs w:val="32"/>
        </w:rPr>
        <w:t>各镇（街道）经发办（局）、慈溪滨海经济开发区管委会经发局、慈溪高新技术产业开发区管委会经发科、市环杭州湾创新中心经发科，市级有关部门：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为进一步激发企业技术创新活力，推动大众创业、万众创新,深化科技经费管理制度改革，完善区域科技创新服务体系，市科技局、市财政局制订了《慈溪市创新券推广应用管理办法（修订）》，现将该办法印发给你们，请积极组织实施。</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 xml:space="preserve">   慈溪市科学技术局　　　　　　　　慈溪市财政局 </w:t>
      </w:r>
    </w:p>
    <w:p>
      <w:pPr>
        <w:keepNext w:val="0"/>
        <w:keepLines w:val="0"/>
        <w:pageBreakBefore w:val="0"/>
        <w:widowControl w:val="0"/>
        <w:kinsoku/>
        <w:wordWrap/>
        <w:overflowPunct/>
        <w:topLinePunct w:val="0"/>
        <w:autoSpaceDE/>
        <w:autoSpaceDN/>
        <w:bidi w:val="0"/>
        <w:adjustRightInd/>
        <w:snapToGrid/>
        <w:spacing w:line="560" w:lineRule="exact"/>
        <w:ind w:firstLine="5920" w:firstLineChars="1850"/>
        <w:jc w:val="left"/>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 xml:space="preserve">日 </w:t>
      </w:r>
    </w:p>
    <w:p>
      <w:pPr>
        <w:keepNext w:val="0"/>
        <w:keepLines w:val="0"/>
        <w:pageBreakBefore w:val="0"/>
        <w:widowControl w:val="0"/>
        <w:kinsoku/>
        <w:wordWrap/>
        <w:overflowPunct/>
        <w:topLinePunct w:val="0"/>
        <w:autoSpaceDE/>
        <w:autoSpaceDN/>
        <w:bidi w:val="0"/>
        <w:adjustRightInd/>
        <w:snapToGrid/>
        <w:spacing w:line="560" w:lineRule="exact"/>
        <w:ind w:firstLine="5920" w:firstLineChars="1850"/>
        <w:jc w:val="left"/>
        <w:textAlignment w:val="auto"/>
        <w:rPr>
          <w:rFonts w:hint="eastAsia" w:ascii="仿宋_GB2312" w:eastAsia="仿宋_GB2312"/>
          <w:sz w:val="32"/>
          <w:szCs w:val="32"/>
        </w:rPr>
      </w:pPr>
    </w:p>
    <w:tbl>
      <w:tblPr>
        <w:tblStyle w:val="5"/>
        <w:tblpPr w:leftFromText="180" w:rightFromText="180" w:vertAnchor="text" w:horzAnchor="margin" w:tblpY="36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tcBorders>
              <w:left w:val="nil"/>
              <w:right w:val="nil"/>
            </w:tcBorders>
            <w:shd w:val="clear" w:color="auto" w:fill="auto"/>
          </w:tcPr>
          <w:p>
            <w:pPr>
              <w:spacing w:line="500" w:lineRule="exact"/>
              <w:ind w:firstLine="140" w:firstLineChars="50"/>
              <w:jc w:val="left"/>
              <w:rPr>
                <w:rFonts w:ascii="仿宋_GB2312" w:eastAsia="仿宋_GB2312"/>
                <w:sz w:val="28"/>
                <w:szCs w:val="28"/>
              </w:rPr>
            </w:pPr>
            <w:r>
              <w:rPr>
                <w:rFonts w:hint="eastAsia" w:ascii="仿宋_GB2312" w:eastAsia="仿宋_GB2312"/>
                <w:sz w:val="28"/>
                <w:szCs w:val="28"/>
              </w:rPr>
              <w:t>慈溪市科技局</w:t>
            </w:r>
            <w:r>
              <w:rPr>
                <w:rFonts w:hint="eastAsia" w:ascii="仿宋_GB2312" w:eastAsia="仿宋_GB2312"/>
                <w:sz w:val="28"/>
                <w:szCs w:val="28"/>
                <w:lang w:eastAsia="zh-CN"/>
              </w:rPr>
              <w:t>科技合作科</w:t>
            </w:r>
            <w:r>
              <w:rPr>
                <w:rFonts w:hint="eastAsia" w:ascii="仿宋_GB2312" w:eastAsia="仿宋_GB2312"/>
                <w:sz w:val="28"/>
                <w:szCs w:val="28"/>
              </w:rPr>
              <w:t xml:space="preserve">                    202</w:t>
            </w:r>
            <w:r>
              <w:rPr>
                <w:rFonts w:hint="eastAsia" w:ascii="仿宋_GB2312" w:eastAsia="仿宋_GB2312"/>
                <w:sz w:val="28"/>
                <w:szCs w:val="28"/>
                <w:lang w:val="en-US" w:eastAsia="zh-CN"/>
              </w:rPr>
              <w:t>2</w:t>
            </w:r>
            <w:r>
              <w:rPr>
                <w:rFonts w:hint="eastAsia" w:ascii="仿宋_GB2312" w:eastAsia="仿宋_GB2312"/>
                <w:sz w:val="28"/>
                <w:szCs w:val="28"/>
              </w:rPr>
              <w:t>年</w:t>
            </w:r>
            <w:r>
              <w:rPr>
                <w:rFonts w:hint="eastAsia" w:ascii="仿宋_GB2312" w:eastAsia="仿宋_GB2312"/>
                <w:sz w:val="28"/>
                <w:szCs w:val="28"/>
                <w:lang w:val="en-US" w:eastAsia="zh-CN"/>
              </w:rPr>
              <w:t>5</w:t>
            </w:r>
            <w:r>
              <w:rPr>
                <w:rFonts w:hint="eastAsia" w:ascii="仿宋_GB2312" w:eastAsia="仿宋_GB2312"/>
                <w:sz w:val="28"/>
                <w:szCs w:val="28"/>
              </w:rPr>
              <w:t>月</w:t>
            </w:r>
            <w:r>
              <w:rPr>
                <w:rFonts w:hint="eastAsia" w:ascii="仿宋_GB2312" w:eastAsia="仿宋_GB2312"/>
                <w:sz w:val="28"/>
                <w:szCs w:val="28"/>
                <w:lang w:val="en-US" w:eastAsia="zh-CN"/>
              </w:rPr>
              <w:t>30</w:t>
            </w:r>
            <w:r>
              <w:rPr>
                <w:rFonts w:hint="eastAsia" w:ascii="仿宋_GB2312" w:eastAsia="仿宋_GB2312"/>
                <w:sz w:val="28"/>
                <w:szCs w:val="28"/>
              </w:rPr>
              <w:t>日印发</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olor w:val="auto"/>
          <w:spacing w:val="0"/>
          <w:sz w:val="36"/>
          <w:szCs w:val="36"/>
          <w:lang w:eastAsia="zh-CN"/>
        </w:rPr>
      </w:pPr>
      <w:r>
        <w:rPr>
          <w:rFonts w:hint="eastAsia" w:ascii="黑体" w:hAnsi="黑体" w:eastAsia="黑体"/>
          <w:color w:val="auto"/>
          <w:spacing w:val="0"/>
          <w:sz w:val="36"/>
          <w:szCs w:val="36"/>
        </w:rPr>
        <w:t>慈溪市创新券推广应用管理办法</w:t>
      </w:r>
      <w:r>
        <w:rPr>
          <w:rFonts w:hint="eastAsia" w:ascii="黑体" w:hAnsi="黑体" w:eastAsia="黑体"/>
          <w:color w:val="auto"/>
          <w:spacing w:val="0"/>
          <w:sz w:val="36"/>
          <w:szCs w:val="36"/>
          <w:lang w:eastAsia="zh-CN"/>
        </w:rPr>
        <w:t>（</w:t>
      </w:r>
      <w:r>
        <w:rPr>
          <w:rFonts w:hint="eastAsia" w:ascii="黑体" w:hAnsi="黑体" w:eastAsia="黑体"/>
          <w:color w:val="auto"/>
          <w:spacing w:val="0"/>
          <w:sz w:val="36"/>
          <w:szCs w:val="36"/>
          <w:lang w:val="en-US" w:eastAsia="zh-CN"/>
        </w:rPr>
        <w:t>修订</w:t>
      </w:r>
      <w:r>
        <w:rPr>
          <w:rFonts w:hint="eastAsia" w:ascii="黑体" w:hAnsi="黑体" w:eastAsia="黑体"/>
          <w:color w:val="auto"/>
          <w:spacing w:val="0"/>
          <w:sz w:val="36"/>
          <w:szCs w:val="36"/>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楷体" w:hAnsi="楷体" w:eastAsia="楷体"/>
          <w:b/>
          <w:bCs/>
          <w:color w:val="auto"/>
          <w:spacing w:val="0"/>
          <w:sz w:val="32"/>
          <w:szCs w:val="32"/>
        </w:rPr>
      </w:pPr>
      <w:r>
        <w:rPr>
          <w:rFonts w:hint="eastAsia" w:ascii="楷体" w:hAnsi="楷体" w:eastAsia="楷体"/>
          <w:b/>
          <w:bCs/>
          <w:color w:val="auto"/>
          <w:spacing w:val="0"/>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ascii="仿宋_GB2312" w:eastAsia="仿宋_GB2312"/>
          <w:color w:val="auto"/>
          <w:spacing w:val="0"/>
          <w:sz w:val="32"/>
          <w:szCs w:val="32"/>
        </w:rPr>
      </w:pPr>
      <w:r>
        <w:rPr>
          <w:rFonts w:hint="eastAsia" w:ascii="仿宋_GB2312" w:eastAsia="仿宋_GB2312"/>
          <w:color w:val="auto"/>
          <w:spacing w:val="0"/>
          <w:sz w:val="32"/>
          <w:szCs w:val="32"/>
        </w:rPr>
        <w:t xml:space="preserve">第一条 </w:t>
      </w:r>
      <w:r>
        <w:rPr>
          <w:rFonts w:ascii="仿宋_GB2312" w:eastAsia="仿宋_GB2312"/>
          <w:color w:val="auto"/>
          <w:spacing w:val="0"/>
          <w:sz w:val="32"/>
          <w:szCs w:val="32"/>
        </w:rPr>
        <w:t>根据浙江省科技厅、浙江省财政厅《关于进一步推广应用创新券推动大众创业万众创新的若干意见》（浙科发条〔2017〕70号）要求，</w:t>
      </w:r>
      <w:r>
        <w:rPr>
          <w:rFonts w:hint="eastAsia" w:ascii="仿宋_GB2312" w:eastAsia="仿宋_GB2312"/>
          <w:color w:val="auto"/>
          <w:spacing w:val="0"/>
          <w:sz w:val="32"/>
          <w:szCs w:val="32"/>
        </w:rPr>
        <w:t>进一步激发企业技术创新活力，推动大众创业、万众创新</w:t>
      </w:r>
      <w:r>
        <w:rPr>
          <w:rFonts w:ascii="仿宋_GB2312" w:eastAsia="仿宋_GB2312"/>
          <w:color w:val="auto"/>
          <w:spacing w:val="0"/>
          <w:sz w:val="32"/>
          <w:szCs w:val="32"/>
        </w:rPr>
        <w:t>,</w:t>
      </w:r>
      <w:r>
        <w:rPr>
          <w:rFonts w:hint="eastAsia" w:ascii="仿宋_GB2312" w:eastAsia="仿宋_GB2312"/>
          <w:color w:val="auto"/>
          <w:spacing w:val="0"/>
          <w:sz w:val="32"/>
          <w:szCs w:val="32"/>
        </w:rPr>
        <w:t>深化科技经费管理制度改革，</w:t>
      </w:r>
      <w:r>
        <w:rPr>
          <w:rFonts w:ascii="仿宋_GB2312" w:eastAsia="仿宋_GB2312"/>
          <w:color w:val="auto"/>
          <w:spacing w:val="0"/>
          <w:sz w:val="32"/>
          <w:szCs w:val="32"/>
        </w:rPr>
        <w:t>完善区域科技创新服务体系</w:t>
      </w:r>
      <w:r>
        <w:rPr>
          <w:rFonts w:hint="eastAsia" w:ascii="仿宋_GB2312" w:eastAsia="仿宋_GB2312"/>
          <w:color w:val="auto"/>
          <w:spacing w:val="0"/>
          <w:sz w:val="32"/>
          <w:szCs w:val="32"/>
        </w:rPr>
        <w:t>，</w:t>
      </w:r>
      <w:r>
        <w:rPr>
          <w:rFonts w:ascii="仿宋_GB2312" w:eastAsia="仿宋_GB2312"/>
          <w:color w:val="auto"/>
          <w:spacing w:val="0"/>
          <w:sz w:val="32"/>
          <w:szCs w:val="32"/>
        </w:rPr>
        <w:t>特制定本办法。</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ascii="仿宋_GB2312" w:eastAsia="仿宋_GB2312"/>
          <w:color w:val="auto"/>
          <w:spacing w:val="0"/>
          <w:sz w:val="32"/>
          <w:szCs w:val="32"/>
        </w:rPr>
      </w:pPr>
      <w:r>
        <w:rPr>
          <w:rFonts w:hint="eastAsia" w:ascii="仿宋_GB2312" w:eastAsia="仿宋_GB2312"/>
          <w:color w:val="auto"/>
          <w:spacing w:val="0"/>
          <w:sz w:val="32"/>
          <w:szCs w:val="32"/>
        </w:rPr>
        <w:t>第二条 创新券是政府向企业和创客无偿发放，用于向创新载体购买技术创新服务、自主开展技术创新活动的一种政策手段，</w:t>
      </w:r>
      <w:r>
        <w:rPr>
          <w:rFonts w:ascii="仿宋_GB2312" w:eastAsia="仿宋_GB2312"/>
          <w:color w:val="auto"/>
          <w:spacing w:val="0"/>
          <w:sz w:val="32"/>
          <w:szCs w:val="32"/>
        </w:rPr>
        <w:t>是推动科技服务需求方和供给方有效对接的一种途径。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楷体" w:hAnsi="楷体" w:eastAsia="楷体"/>
          <w:b/>
          <w:bCs/>
          <w:color w:val="auto"/>
          <w:spacing w:val="0"/>
          <w:sz w:val="32"/>
          <w:szCs w:val="32"/>
        </w:rPr>
      </w:pPr>
      <w:r>
        <w:rPr>
          <w:rFonts w:hint="eastAsia" w:ascii="楷体" w:hAnsi="楷体" w:eastAsia="楷体"/>
          <w:b/>
          <w:bCs/>
          <w:color w:val="auto"/>
          <w:spacing w:val="0"/>
          <w:sz w:val="32"/>
          <w:szCs w:val="32"/>
        </w:rPr>
        <w:t>第二章　对象与范围</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rPr>
        <w:t xml:space="preserve">第三条 </w:t>
      </w:r>
      <w:r>
        <w:rPr>
          <w:rFonts w:hint="eastAsia" w:ascii="仿宋_GB2312" w:eastAsia="仿宋_GB2312"/>
          <w:color w:val="auto"/>
          <w:spacing w:val="0"/>
          <w:sz w:val="32"/>
          <w:szCs w:val="32"/>
          <w:lang w:eastAsia="zh-CN"/>
        </w:rPr>
        <w:t>创新券支持使用对象是在本市注册的近三年（含当年）认定的各级科技型中小企业、高新技术培育企业和经备案的各级科技企业孵化器、众创空间、星创天地等入驻的创客。创客申领、预约、支付及兑付创新券等事务，须委托其入驻单位代理。</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eastAsia="zh-CN"/>
        </w:rPr>
        <w:t>第四条</w:t>
      </w:r>
      <w:r>
        <w:rPr>
          <w:rFonts w:hint="eastAsia" w:ascii="仿宋_GB2312" w:eastAsia="仿宋_GB2312"/>
          <w:color w:val="auto"/>
          <w:spacing w:val="0"/>
          <w:sz w:val="32"/>
          <w:szCs w:val="32"/>
          <w:lang w:val="en-US" w:eastAsia="zh-CN"/>
        </w:rPr>
        <w:t xml:space="preserve"> 创新券的主要接收对象是经“浙江科技大脑”注册登记的各类科研院所、高等学校、科技创新服务平台、重点企业研究院、重点实验室、新型研发机构、科技服务企业等省内外创新载体；慈溪市大型检测仪器设备管理与共享服务云平台（以下简称慈溪大仪平台）以及慈溪市科技型中小企业服务站（以下简称科技企业服务站）的入驻载体（需通过浙江科技大脑平台注册登记）。</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val="en-US" w:eastAsia="zh-CN"/>
        </w:rPr>
        <w:t>第五条  创新券的支持范围是各级各类创新载体为本市的企业和创业者提供的合作开发、委托开发、科技评估、技术查新、技术咨询、检验检测、高新技术企业申报等服务。</w:t>
      </w:r>
      <w:r>
        <w:rPr>
          <w:rFonts w:hint="eastAsia" w:ascii="仿宋_GB2312" w:eastAsia="仿宋_GB2312"/>
          <w:color w:val="auto"/>
          <w:spacing w:val="0"/>
          <w:sz w:val="32"/>
          <w:szCs w:val="32"/>
          <w:lang w:eastAsia="zh-CN"/>
        </w:rPr>
        <w:t>但不包含以下内容：</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ascii="仿宋_GB2312" w:eastAsia="仿宋_GB2312"/>
          <w:color w:val="auto"/>
          <w:spacing w:val="0"/>
          <w:sz w:val="32"/>
          <w:szCs w:val="32"/>
        </w:rPr>
      </w:pPr>
      <w:r>
        <w:rPr>
          <w:rFonts w:hint="eastAsia" w:ascii="仿宋_GB2312" w:eastAsia="仿宋_GB2312"/>
          <w:color w:val="auto"/>
          <w:spacing w:val="0"/>
          <w:sz w:val="32"/>
          <w:szCs w:val="32"/>
        </w:rPr>
        <w:t>（1）按照法律法规或者强制性标准要求开展的强制检测和法定检测；</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rPr>
        <w:t>（2）专利代理、软件著作权注册等知识产权过程所需服务</w:t>
      </w:r>
      <w:r>
        <w:rPr>
          <w:rFonts w:hint="eastAsia" w:ascii="仿宋_GB2312" w:eastAsia="仿宋_GB2312"/>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ascii="仿宋_GB2312" w:eastAsia="仿宋_GB2312"/>
          <w:color w:val="auto"/>
          <w:spacing w:val="0"/>
          <w:sz w:val="32"/>
          <w:szCs w:val="32"/>
        </w:rPr>
      </w:pPr>
      <w:r>
        <w:rPr>
          <w:rFonts w:hint="eastAsia" w:ascii="仿宋_GB2312" w:eastAsia="仿宋_GB2312"/>
          <w:color w:val="auto"/>
          <w:spacing w:val="0"/>
          <w:sz w:val="32"/>
          <w:szCs w:val="32"/>
        </w:rPr>
        <w:t>（3）工业设计类</w:t>
      </w:r>
      <w:r>
        <w:rPr>
          <w:rFonts w:hint="eastAsia" w:ascii="仿宋_GB2312" w:eastAsia="仿宋_GB2312"/>
          <w:color w:val="auto"/>
          <w:spacing w:val="0"/>
          <w:sz w:val="32"/>
          <w:szCs w:val="32"/>
          <w:lang w:eastAsia="zh-CN"/>
        </w:rPr>
        <w:t>、</w:t>
      </w:r>
      <w:r>
        <w:rPr>
          <w:rFonts w:hint="eastAsia" w:ascii="仿宋_GB2312" w:eastAsia="仿宋_GB2312"/>
          <w:color w:val="auto"/>
          <w:spacing w:val="0"/>
          <w:sz w:val="32"/>
          <w:szCs w:val="32"/>
        </w:rPr>
        <w:t>科技金融类</w:t>
      </w:r>
      <w:r>
        <w:rPr>
          <w:rFonts w:hint="eastAsia" w:ascii="仿宋_GB2312" w:eastAsia="仿宋_GB2312"/>
          <w:color w:val="auto"/>
          <w:spacing w:val="0"/>
          <w:sz w:val="32"/>
          <w:szCs w:val="32"/>
          <w:lang w:eastAsia="zh-CN"/>
        </w:rPr>
        <w:t>服务；</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rPr>
        <w:t>（</w:t>
      </w:r>
      <w:r>
        <w:rPr>
          <w:rFonts w:hint="eastAsia" w:ascii="仿宋_GB2312" w:eastAsia="仿宋_GB2312"/>
          <w:color w:val="auto"/>
          <w:spacing w:val="0"/>
          <w:sz w:val="32"/>
          <w:szCs w:val="32"/>
          <w:lang w:val="en-US" w:eastAsia="zh-CN"/>
        </w:rPr>
        <w:t>4</w:t>
      </w:r>
      <w:r>
        <w:rPr>
          <w:rFonts w:hint="eastAsia" w:ascii="仿宋_GB2312" w:eastAsia="仿宋_GB2312"/>
          <w:color w:val="auto"/>
          <w:spacing w:val="0"/>
          <w:sz w:val="32"/>
          <w:szCs w:val="32"/>
        </w:rPr>
        <w:t>）已列入</w:t>
      </w:r>
      <w:r>
        <w:rPr>
          <w:rFonts w:hint="eastAsia" w:ascii="仿宋_GB2312" w:eastAsia="仿宋_GB2312"/>
          <w:color w:val="auto"/>
          <w:spacing w:val="0"/>
          <w:sz w:val="32"/>
          <w:szCs w:val="32"/>
          <w:lang w:eastAsia="zh-CN"/>
        </w:rPr>
        <w:t>市本级以上科技计划项目支持的。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b/>
          <w:bCs/>
          <w:color w:val="auto"/>
          <w:spacing w:val="0"/>
          <w:sz w:val="32"/>
          <w:szCs w:val="32"/>
          <w:lang w:eastAsia="zh-CN"/>
        </w:rPr>
      </w:pPr>
      <w:r>
        <w:rPr>
          <w:rFonts w:hint="eastAsia" w:ascii="楷体" w:hAnsi="楷体" w:eastAsia="楷体"/>
          <w:b/>
          <w:bCs/>
          <w:color w:val="auto"/>
          <w:spacing w:val="0"/>
          <w:sz w:val="32"/>
          <w:szCs w:val="32"/>
        </w:rPr>
        <w:t>第三章　使用</w:t>
      </w:r>
      <w:r>
        <w:rPr>
          <w:rFonts w:hint="eastAsia" w:ascii="楷体" w:hAnsi="楷体" w:eastAsia="楷体"/>
          <w:b/>
          <w:bCs/>
          <w:color w:val="auto"/>
          <w:spacing w:val="0"/>
          <w:sz w:val="32"/>
          <w:szCs w:val="32"/>
          <w:lang w:eastAsia="zh-CN"/>
        </w:rPr>
        <w:t>兑付</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第六条  创新券的原则是“先领先得、即领即用”，企业和创客入驻单位通过“浙江科技大脑创新券系统”（https://stbrain.kjt.zj.gov.cn/stbrain/）进行注册、申领，与符合条件的创新载体进行供需对接。</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第七条  创新券采用常年受理、分批审核、集中兑付的方式，一般每季度审核一次，每年至少兑付一次。企业单次申领最高额度不超过10万元，创客单次申领最高额度不超过5万元，使用有效期为1个月，过期回收。</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default"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第八条  创新券主要分为成果转化券、技术服务券和主体培育券。</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（一）成果转化券</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default"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用于企业或创客与高校、科研院所开展合作开发、委托开发的科研项目，申请此类券的企业和创客在项目完成并按协议全额支付后，可在项目合同截止日所在年度内按实付金额的20%申领、使用创新券，过期作废。同一年度内，同一企业兑付总额最高不超过5万元，创客不超过3万元，同一项目只能兑付一次。</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eastAsia="zh-CN"/>
        </w:rPr>
        <w:t>（二）技术服务券</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eastAsia="zh-CN"/>
        </w:rPr>
        <w:t>用于企业或创客在新产品、新技术研发过程中购买的</w:t>
      </w:r>
      <w:r>
        <w:rPr>
          <w:rFonts w:hint="eastAsia" w:ascii="仿宋_GB2312" w:eastAsia="仿宋_GB2312"/>
          <w:color w:val="auto"/>
          <w:spacing w:val="0"/>
          <w:sz w:val="32"/>
          <w:szCs w:val="32"/>
          <w:lang w:val="en-US" w:eastAsia="zh-CN"/>
        </w:rPr>
        <w:t>科技评估、技术查新、技术咨询、检验检测</w:t>
      </w:r>
      <w:r>
        <w:rPr>
          <w:rFonts w:hint="eastAsia" w:ascii="仿宋_GB2312" w:eastAsia="仿宋_GB2312"/>
          <w:color w:val="auto"/>
          <w:spacing w:val="0"/>
          <w:sz w:val="32"/>
          <w:szCs w:val="32"/>
          <w:lang w:eastAsia="zh-CN"/>
        </w:rPr>
        <w:t>等，</w:t>
      </w:r>
      <w:r>
        <w:rPr>
          <w:rFonts w:hint="eastAsia" w:ascii="仿宋_GB2312" w:eastAsia="仿宋_GB2312"/>
          <w:color w:val="auto"/>
          <w:spacing w:val="0"/>
          <w:sz w:val="32"/>
          <w:szCs w:val="32"/>
          <w:lang w:val="en-US" w:eastAsia="zh-CN"/>
        </w:rPr>
        <w:t>可按</w:t>
      </w:r>
      <w:r>
        <w:rPr>
          <w:rFonts w:hint="eastAsia" w:ascii="仿宋_GB2312" w:eastAsia="仿宋_GB2312"/>
          <w:color w:val="auto"/>
          <w:spacing w:val="0"/>
          <w:sz w:val="32"/>
          <w:szCs w:val="32"/>
          <w:lang w:eastAsia="zh-CN"/>
        </w:rPr>
        <w:t>服务总费用的50%予以兑付。同一年度内，同一企业兑付总额最高不超过10万元，创客不超过5万元。</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b/>
          <w:bCs/>
          <w:color w:val="auto"/>
          <w:spacing w:val="0"/>
          <w:sz w:val="32"/>
          <w:szCs w:val="32"/>
          <w:lang w:eastAsia="zh-CN"/>
        </w:rPr>
      </w:pPr>
      <w:r>
        <w:rPr>
          <w:rFonts w:hint="eastAsia" w:ascii="仿宋_GB2312" w:eastAsia="仿宋_GB2312"/>
          <w:color w:val="auto"/>
          <w:spacing w:val="0"/>
          <w:sz w:val="32"/>
          <w:szCs w:val="32"/>
          <w:lang w:val="en-US" w:eastAsia="zh-CN"/>
        </w:rPr>
        <w:t>（三）</w:t>
      </w:r>
      <w:r>
        <w:rPr>
          <w:rFonts w:hint="eastAsia" w:ascii="仿宋_GB2312" w:eastAsia="仿宋_GB2312"/>
          <w:color w:val="auto"/>
          <w:spacing w:val="0"/>
          <w:sz w:val="32"/>
          <w:szCs w:val="32"/>
          <w:lang w:eastAsia="zh-CN"/>
        </w:rPr>
        <w:t>主体培育券</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eastAsia="zh-CN"/>
        </w:rPr>
        <w:t>用于高新技术培育企业在高新技术企业创建过程中</w:t>
      </w:r>
      <w:r>
        <w:rPr>
          <w:rFonts w:hint="eastAsia" w:ascii="仿宋_GB2312" w:eastAsia="仿宋_GB2312"/>
          <w:color w:val="auto"/>
          <w:spacing w:val="0"/>
          <w:sz w:val="32"/>
          <w:szCs w:val="32"/>
          <w:lang w:val="en-US" w:eastAsia="zh-CN"/>
        </w:rPr>
        <w:t>在科技企业服务站</w:t>
      </w:r>
      <w:r>
        <w:rPr>
          <w:rFonts w:hint="eastAsia" w:ascii="仿宋_GB2312" w:eastAsia="仿宋_GB2312"/>
          <w:color w:val="auto"/>
          <w:spacing w:val="0"/>
          <w:sz w:val="32"/>
          <w:szCs w:val="32"/>
          <w:lang w:eastAsia="zh-CN"/>
        </w:rPr>
        <w:t>购买的规范记账、专项审计、申报辅导等服务，可按照服务总费用的50%予以奖补。</w:t>
      </w:r>
      <w:r>
        <w:rPr>
          <w:rFonts w:hint="eastAsia" w:ascii="仿宋_GB2312" w:eastAsia="仿宋_GB2312"/>
          <w:color w:val="auto"/>
          <w:spacing w:val="0"/>
          <w:sz w:val="32"/>
          <w:szCs w:val="32"/>
          <w:lang w:val="en-US" w:eastAsia="zh-CN"/>
        </w:rPr>
        <w:t>培育期内，同一企业奖补额度最高不超过5万元。</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第九条 兑付方式</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企业和创客向</w:t>
      </w:r>
      <w:r>
        <w:rPr>
          <w:rFonts w:hint="eastAsia" w:ascii="仿宋_GB2312" w:eastAsia="仿宋_GB2312"/>
          <w:color w:val="auto"/>
          <w:spacing w:val="0"/>
          <w:sz w:val="32"/>
          <w:szCs w:val="32"/>
          <w:lang w:eastAsia="zh-CN"/>
        </w:rPr>
        <w:t>慈溪</w:t>
      </w:r>
      <w:r>
        <w:rPr>
          <w:rFonts w:hint="eastAsia" w:ascii="仿宋_GB2312" w:eastAsia="仿宋_GB2312"/>
          <w:color w:val="auto"/>
          <w:spacing w:val="0"/>
          <w:sz w:val="32"/>
          <w:szCs w:val="32"/>
          <w:lang w:val="en-US" w:eastAsia="zh-CN"/>
        </w:rPr>
        <w:t>大仪平台、科技企业服务站入驻的载体购买服务时，原则上采取载体兑付的方式，向其他载体购买服务时，采用企业兑付的方式。</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1、载体兑付：载体在服务事项完成且企业全额支付服务费用后，汇总提交兑付申请，市科技局在审核后将补助资金集中兑付至企业。兑付时，应提交以下材料：《载体兑付申请表》、服务汇总清单、服务协议（合同）复印件、服务结果凭证、付款凭证和发票等相关资料。</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2、企业兑付：企业和创客在服务事项完成后提交兑付申请，兑付时，应提交以下材料：《企业兑付申请表》、服务协议（项目合作协议）、服务结果凭证、企业付款凭证和发票等相关资料。成果转化券还应提交项目实施总结。</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第十条  兑付程序</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default" w:ascii="仿宋_GB2312" w:eastAsia="仿宋_GB2312"/>
          <w:color w:val="auto"/>
          <w:spacing w:val="0"/>
          <w:sz w:val="32"/>
          <w:szCs w:val="32"/>
          <w:lang w:val="en-US" w:eastAsia="zh-CN"/>
        </w:rPr>
      </w:pPr>
      <w:r>
        <w:rPr>
          <w:rFonts w:hint="eastAsia" w:ascii="仿宋_GB2312" w:eastAsia="仿宋_GB2312"/>
          <w:color w:val="auto"/>
          <w:spacing w:val="0"/>
          <w:sz w:val="32"/>
          <w:szCs w:val="32"/>
          <w:lang w:val="en-US" w:eastAsia="zh-CN"/>
        </w:rPr>
        <w:t>创新券使用后，企业、创客和载体通过浙江科技大脑在线提交兑付申请，初审通过后向市科技局提交相关材料，市科技局会同市财政局进行分批审核、集中兑付。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楷体" w:hAnsi="楷体" w:eastAsia="楷体"/>
          <w:color w:val="auto"/>
          <w:spacing w:val="0"/>
          <w:sz w:val="32"/>
          <w:szCs w:val="32"/>
        </w:rPr>
      </w:pPr>
      <w:r>
        <w:rPr>
          <w:rFonts w:hint="eastAsia" w:ascii="楷体" w:hAnsi="楷体" w:eastAsia="楷体"/>
          <w:color w:val="auto"/>
          <w:spacing w:val="0"/>
          <w:sz w:val="32"/>
          <w:szCs w:val="32"/>
        </w:rPr>
        <w:t>第四章　管理与监督</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ascii="仿宋_GB2312" w:eastAsia="仿宋_GB2312"/>
          <w:color w:val="auto"/>
          <w:spacing w:val="0"/>
          <w:sz w:val="32"/>
          <w:szCs w:val="32"/>
        </w:rPr>
      </w:pPr>
      <w:r>
        <w:rPr>
          <w:rFonts w:hint="eastAsia" w:ascii="仿宋_GB2312" w:eastAsia="仿宋_GB2312"/>
          <w:color w:val="auto"/>
          <w:spacing w:val="0"/>
          <w:sz w:val="32"/>
          <w:szCs w:val="32"/>
        </w:rPr>
        <w:t>第</w:t>
      </w:r>
      <w:r>
        <w:rPr>
          <w:rFonts w:hint="eastAsia" w:ascii="仿宋_GB2312" w:eastAsia="仿宋_GB2312"/>
          <w:color w:val="auto"/>
          <w:spacing w:val="0"/>
          <w:sz w:val="32"/>
          <w:szCs w:val="32"/>
          <w:lang w:eastAsia="zh-CN"/>
        </w:rPr>
        <w:t>十一</w:t>
      </w:r>
      <w:r>
        <w:rPr>
          <w:rFonts w:hint="eastAsia" w:ascii="仿宋_GB2312" w:eastAsia="仿宋_GB2312"/>
          <w:color w:val="auto"/>
          <w:spacing w:val="0"/>
          <w:sz w:val="32"/>
          <w:szCs w:val="32"/>
        </w:rPr>
        <w:t>条 市科技局主要负责创新券政策制订、经费预算</w:t>
      </w:r>
      <w:r>
        <w:rPr>
          <w:rFonts w:ascii="仿宋_GB2312" w:eastAsia="仿宋_GB2312"/>
          <w:color w:val="auto"/>
          <w:spacing w:val="0"/>
          <w:sz w:val="32"/>
          <w:szCs w:val="32"/>
        </w:rPr>
        <w:t>、发放兑</w:t>
      </w:r>
      <w:r>
        <w:rPr>
          <w:rFonts w:hint="eastAsia" w:ascii="仿宋_GB2312" w:eastAsia="仿宋_GB2312"/>
          <w:color w:val="auto"/>
          <w:spacing w:val="0"/>
          <w:sz w:val="32"/>
          <w:szCs w:val="32"/>
          <w:lang w:eastAsia="zh-CN"/>
        </w:rPr>
        <w:t>付</w:t>
      </w:r>
      <w:r>
        <w:rPr>
          <w:rFonts w:hint="eastAsia" w:ascii="仿宋_GB2312" w:eastAsia="仿宋_GB2312"/>
          <w:color w:val="auto"/>
          <w:spacing w:val="0"/>
          <w:sz w:val="32"/>
          <w:szCs w:val="32"/>
        </w:rPr>
        <w:t>审核</w:t>
      </w:r>
      <w:r>
        <w:rPr>
          <w:rFonts w:ascii="仿宋_GB2312" w:eastAsia="仿宋_GB2312"/>
          <w:color w:val="auto"/>
          <w:spacing w:val="0"/>
          <w:sz w:val="32"/>
          <w:szCs w:val="32"/>
        </w:rPr>
        <w:t>和绩效评价等日常管理工作；</w:t>
      </w:r>
      <w:r>
        <w:rPr>
          <w:rFonts w:hint="eastAsia" w:ascii="仿宋_GB2312" w:eastAsia="仿宋_GB2312"/>
          <w:color w:val="auto"/>
          <w:spacing w:val="0"/>
          <w:sz w:val="32"/>
          <w:szCs w:val="32"/>
        </w:rPr>
        <w:t>市财政局主要负责创新券专项资金预算审定，开展财政监督检查工作</w:t>
      </w:r>
      <w:r>
        <w:rPr>
          <w:rFonts w:hint="eastAsia" w:ascii="仿宋_GB2312" w:eastAsia="仿宋_GB2312"/>
          <w:color w:val="auto"/>
          <w:spacing w:val="0"/>
          <w:sz w:val="32"/>
          <w:szCs w:val="32"/>
          <w:lang w:eastAsia="zh-CN"/>
        </w:rPr>
        <w:t>；各级各类创新载体，应当保护用户身份信息以及在使用过程中形成的知识产权、科学数据和技术秘密。</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rPr>
        <w:t>第十</w:t>
      </w:r>
      <w:r>
        <w:rPr>
          <w:rFonts w:hint="eastAsia" w:ascii="仿宋_GB2312" w:eastAsia="仿宋_GB2312"/>
          <w:color w:val="auto"/>
          <w:spacing w:val="0"/>
          <w:sz w:val="32"/>
          <w:szCs w:val="32"/>
          <w:lang w:eastAsia="zh-CN"/>
        </w:rPr>
        <w:t>二</w:t>
      </w:r>
      <w:r>
        <w:rPr>
          <w:rFonts w:hint="eastAsia" w:ascii="仿宋_GB2312" w:eastAsia="仿宋_GB2312"/>
          <w:color w:val="auto"/>
          <w:spacing w:val="0"/>
          <w:sz w:val="32"/>
          <w:szCs w:val="32"/>
        </w:rPr>
        <w:t xml:space="preserve">条 </w:t>
      </w:r>
      <w:r>
        <w:rPr>
          <w:rFonts w:hint="eastAsia" w:ascii="仿宋_GB2312" w:eastAsia="仿宋_GB2312"/>
          <w:color w:val="auto"/>
          <w:spacing w:val="0"/>
          <w:sz w:val="32"/>
          <w:szCs w:val="32"/>
          <w:lang w:eastAsia="zh-CN"/>
        </w:rPr>
        <w:t>企业、创客和载体应按照有关规定申领、使用、兑付创新券，严格执行相关的财务制度和会计核算规定，合法使用创新券，并自觉接受相关部门的监督检查。有以下行为之一的，将终止项目、追回资助资金，并将责任单位和人员列入科研诚信黑名单，三年内不受理其申报市科技计划项目，构成违法的，将移送司法机关按规定处理。</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eastAsia="zh-CN"/>
        </w:rPr>
        <w:t>（</w:t>
      </w:r>
      <w:r>
        <w:rPr>
          <w:rFonts w:hint="eastAsia" w:ascii="仿宋_GB2312" w:eastAsia="仿宋_GB2312"/>
          <w:color w:val="auto"/>
          <w:spacing w:val="0"/>
          <w:sz w:val="32"/>
          <w:szCs w:val="32"/>
          <w:lang w:val="en-US" w:eastAsia="zh-CN"/>
        </w:rPr>
        <w:t>1</w:t>
      </w:r>
      <w:r>
        <w:rPr>
          <w:rFonts w:hint="eastAsia" w:ascii="仿宋_GB2312" w:eastAsia="仿宋_GB2312"/>
          <w:color w:val="auto"/>
          <w:spacing w:val="0"/>
          <w:sz w:val="32"/>
          <w:szCs w:val="32"/>
          <w:lang w:eastAsia="zh-CN"/>
        </w:rPr>
        <w:t>）转让、赠送和买卖创新券的；</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eastAsia="zh-CN"/>
        </w:rPr>
        <w:t>（</w:t>
      </w:r>
      <w:r>
        <w:rPr>
          <w:rFonts w:hint="eastAsia" w:ascii="仿宋_GB2312" w:eastAsia="仿宋_GB2312"/>
          <w:color w:val="auto"/>
          <w:spacing w:val="0"/>
          <w:sz w:val="32"/>
          <w:szCs w:val="32"/>
          <w:lang w:val="en-US" w:eastAsia="zh-CN"/>
        </w:rPr>
        <w:t>2</w:t>
      </w:r>
      <w:r>
        <w:rPr>
          <w:rFonts w:hint="eastAsia" w:ascii="仿宋_GB2312" w:eastAsia="仿宋_GB2312"/>
          <w:color w:val="auto"/>
          <w:spacing w:val="0"/>
          <w:sz w:val="32"/>
          <w:szCs w:val="32"/>
          <w:lang w:eastAsia="zh-CN"/>
        </w:rPr>
        <w:t>）在创新券申领、兑付或服务过程中提供虚假信息的；</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eastAsia="zh-CN"/>
        </w:rPr>
        <w:t>（</w:t>
      </w:r>
      <w:r>
        <w:rPr>
          <w:rFonts w:hint="eastAsia" w:ascii="仿宋_GB2312" w:eastAsia="仿宋_GB2312"/>
          <w:color w:val="auto"/>
          <w:spacing w:val="0"/>
          <w:sz w:val="32"/>
          <w:szCs w:val="32"/>
          <w:lang w:val="en-US" w:eastAsia="zh-CN"/>
        </w:rPr>
        <w:t>3</w:t>
      </w:r>
      <w:r>
        <w:rPr>
          <w:rFonts w:hint="eastAsia" w:ascii="仿宋_GB2312" w:eastAsia="仿宋_GB2312"/>
          <w:color w:val="auto"/>
          <w:spacing w:val="0"/>
          <w:sz w:val="32"/>
          <w:szCs w:val="32"/>
          <w:lang w:eastAsia="zh-CN"/>
        </w:rPr>
        <w:t>）故意隐瞒载体与企业、创客存在影响公平公正市场交易的关联关系的；</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eastAsia="zh-CN"/>
        </w:rPr>
        <w:t>（</w:t>
      </w:r>
      <w:r>
        <w:rPr>
          <w:rFonts w:hint="eastAsia" w:ascii="仿宋_GB2312" w:eastAsia="仿宋_GB2312"/>
          <w:color w:val="auto"/>
          <w:spacing w:val="0"/>
          <w:sz w:val="32"/>
          <w:szCs w:val="32"/>
          <w:lang w:val="en-US" w:eastAsia="zh-CN"/>
        </w:rPr>
        <w:t>4</w:t>
      </w:r>
      <w:r>
        <w:rPr>
          <w:rFonts w:hint="eastAsia" w:ascii="仿宋_GB2312" w:eastAsia="仿宋_GB2312"/>
          <w:color w:val="auto"/>
          <w:spacing w:val="0"/>
          <w:sz w:val="32"/>
          <w:szCs w:val="32"/>
          <w:lang w:eastAsia="zh-CN"/>
        </w:rPr>
        <w:t>）采用虚构创新券合同或者提高合同金额等方式，套取创新券资金的。</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eastAsia="仿宋_GB2312"/>
          <w:color w:val="auto"/>
          <w:spacing w:val="0"/>
          <w:sz w:val="32"/>
          <w:szCs w:val="32"/>
          <w:lang w:eastAsia="zh-CN"/>
        </w:rPr>
      </w:pPr>
      <w:r>
        <w:rPr>
          <w:rFonts w:hint="eastAsia" w:ascii="仿宋_GB2312" w:eastAsia="仿宋_GB2312"/>
          <w:color w:val="auto"/>
          <w:spacing w:val="0"/>
          <w:sz w:val="32"/>
          <w:szCs w:val="32"/>
          <w:lang w:eastAsia="zh-CN"/>
        </w:rPr>
        <w:t>（</w:t>
      </w:r>
      <w:r>
        <w:rPr>
          <w:rFonts w:hint="eastAsia" w:ascii="仿宋_GB2312" w:eastAsia="仿宋_GB2312"/>
          <w:color w:val="auto"/>
          <w:spacing w:val="0"/>
          <w:sz w:val="32"/>
          <w:szCs w:val="32"/>
          <w:lang w:val="en-US" w:eastAsia="zh-CN"/>
        </w:rPr>
        <w:t>5</w:t>
      </w:r>
      <w:r>
        <w:rPr>
          <w:rFonts w:hint="eastAsia" w:ascii="仿宋_GB2312" w:eastAsia="仿宋_GB2312"/>
          <w:color w:val="auto"/>
          <w:spacing w:val="0"/>
          <w:sz w:val="32"/>
          <w:szCs w:val="32"/>
          <w:lang w:eastAsia="zh-CN"/>
        </w:rPr>
        <w:t>）其他不诚信行为。</w:t>
      </w:r>
    </w:p>
    <w:p>
      <w:pPr>
        <w:keepNext w:val="0"/>
        <w:keepLines w:val="0"/>
        <w:pageBreakBefore w:val="0"/>
        <w:widowControl w:val="0"/>
        <w:kinsoku/>
        <w:wordWrap/>
        <w:overflowPunct/>
        <w:topLinePunct w:val="0"/>
        <w:autoSpaceDE/>
        <w:autoSpaceDN/>
        <w:bidi w:val="0"/>
        <w:adjustRightInd/>
        <w:snapToGrid/>
        <w:spacing w:line="560" w:lineRule="exact"/>
        <w:ind w:firstLine="660"/>
        <w:jc w:val="center"/>
        <w:textAlignment w:val="auto"/>
        <w:rPr>
          <w:rFonts w:ascii="楷体" w:hAnsi="楷体" w:eastAsia="楷体"/>
          <w:color w:val="auto"/>
          <w:spacing w:val="0"/>
          <w:sz w:val="32"/>
          <w:szCs w:val="32"/>
        </w:rPr>
      </w:pPr>
      <w:r>
        <w:rPr>
          <w:rFonts w:hint="eastAsia" w:ascii="楷体" w:hAnsi="楷体" w:eastAsia="楷体"/>
          <w:color w:val="auto"/>
          <w:spacing w:val="0"/>
          <w:sz w:val="32"/>
          <w:szCs w:val="32"/>
        </w:rPr>
        <w:t>第五章　附则</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ascii="仿宋_GB2312" w:eastAsia="仿宋_GB2312"/>
          <w:color w:val="auto"/>
          <w:spacing w:val="0"/>
          <w:sz w:val="32"/>
          <w:szCs w:val="32"/>
        </w:rPr>
      </w:pPr>
      <w:r>
        <w:rPr>
          <w:rFonts w:hint="eastAsia" w:ascii="仿宋_GB2312" w:eastAsia="仿宋_GB2312"/>
          <w:color w:val="auto"/>
          <w:spacing w:val="0"/>
          <w:sz w:val="32"/>
          <w:szCs w:val="32"/>
        </w:rPr>
        <w:t>第十</w:t>
      </w:r>
      <w:r>
        <w:rPr>
          <w:rFonts w:hint="eastAsia" w:ascii="仿宋_GB2312" w:eastAsia="仿宋_GB2312"/>
          <w:color w:val="auto"/>
          <w:spacing w:val="0"/>
          <w:sz w:val="32"/>
          <w:szCs w:val="32"/>
          <w:lang w:eastAsia="zh-CN"/>
        </w:rPr>
        <w:t>三</w:t>
      </w:r>
      <w:r>
        <w:rPr>
          <w:rFonts w:hint="eastAsia" w:ascii="仿宋_GB2312" w:eastAsia="仿宋_GB2312"/>
          <w:color w:val="auto"/>
          <w:spacing w:val="0"/>
          <w:sz w:val="32"/>
          <w:szCs w:val="32"/>
        </w:rPr>
        <w:t>条 本办法自</w:t>
      </w:r>
      <w:r>
        <w:rPr>
          <w:rFonts w:hint="eastAsia" w:ascii="仿宋_GB2312" w:eastAsia="仿宋_GB2312"/>
          <w:color w:val="auto"/>
          <w:spacing w:val="0"/>
          <w:sz w:val="32"/>
          <w:szCs w:val="32"/>
          <w:lang w:eastAsia="zh-CN"/>
        </w:rPr>
        <w:t>发布之日</w:t>
      </w:r>
      <w:r>
        <w:rPr>
          <w:rFonts w:hint="eastAsia" w:ascii="仿宋_GB2312" w:eastAsia="仿宋_GB2312"/>
          <w:color w:val="auto"/>
          <w:spacing w:val="0"/>
          <w:sz w:val="32"/>
          <w:szCs w:val="32"/>
        </w:rPr>
        <w:t>起施行，由市科技局会同市财政局负责解释。</w:t>
      </w:r>
    </w:p>
    <w:p>
      <w:pPr>
        <w:keepNext w:val="0"/>
        <w:keepLines w:val="0"/>
        <w:pageBreakBefore w:val="0"/>
        <w:widowControl w:val="0"/>
        <w:kinsoku/>
        <w:wordWrap/>
        <w:overflowPunct/>
        <w:topLinePunct w:val="0"/>
        <w:autoSpaceDE/>
        <w:autoSpaceDN/>
        <w:bidi w:val="0"/>
        <w:adjustRightInd/>
        <w:snapToGrid/>
        <w:spacing w:line="560" w:lineRule="exact"/>
        <w:textAlignment w:val="auto"/>
        <w:rPr>
          <w:spacing w:val="0"/>
        </w:rPr>
      </w:pP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ascii="仿宋_GB2312" w:eastAsia="仿宋_GB2312"/>
          <w:spacing w:val="0"/>
          <w:sz w:val="32"/>
          <w:szCs w:val="32"/>
        </w:rPr>
      </w:pPr>
    </w:p>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20313"/>
      <w:docPartObj>
        <w:docPartGallery w:val="autotext"/>
      </w:docPartObj>
    </w:sdtPr>
    <w:sdtContent>
      <w:p>
        <w:pPr>
          <w:pStyle w:val="3"/>
          <w:jc w:val="right"/>
        </w:pPr>
        <w:r>
          <w:fldChar w:fldCharType="begin"/>
        </w:r>
        <w:r>
          <w:instrText xml:space="preserve"> PAGE   \* MERGEFORMAT </w:instrText>
        </w:r>
        <w:r>
          <w:fldChar w:fldCharType="separate"/>
        </w:r>
        <w:r>
          <w:rPr>
            <w:lang w:val="zh-CN"/>
          </w:rPr>
          <w:t>-</w:t>
        </w:r>
        <w:r>
          <w:t xml:space="preserve"> 1 -</w:t>
        </w:r>
        <w: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20315"/>
      <w:docPartObj>
        <w:docPartGallery w:val="autotext"/>
      </w:docPartObj>
    </w:sdtPr>
    <w:sdtContent>
      <w:p>
        <w:pPr>
          <w:pStyle w:val="3"/>
        </w:pPr>
        <w:r>
          <w:fldChar w:fldCharType="begin"/>
        </w:r>
        <w:r>
          <w:instrText xml:space="preserve"> PAGE   \* MERGEFORMAT </w:instrText>
        </w:r>
        <w:r>
          <w:fldChar w:fldCharType="separate"/>
        </w:r>
        <w:r>
          <w:rPr>
            <w:lang w:val="zh-CN"/>
          </w:rPr>
          <w:t>-</w:t>
        </w:r>
        <w:r>
          <w:t xml:space="preserve"> 6 -</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wNGU0YWI3ZmMyMWRhOTdjMThhZDZhMjI2YWEzYjEifQ=="/>
  </w:docVars>
  <w:rsids>
    <w:rsidRoot w:val="007913B5"/>
    <w:rsid w:val="0000497B"/>
    <w:rsid w:val="0000630B"/>
    <w:rsid w:val="00014D07"/>
    <w:rsid w:val="00040A1A"/>
    <w:rsid w:val="0007206C"/>
    <w:rsid w:val="00083C67"/>
    <w:rsid w:val="00086A09"/>
    <w:rsid w:val="000951DD"/>
    <w:rsid w:val="000E2CD0"/>
    <w:rsid w:val="0013046D"/>
    <w:rsid w:val="001331CD"/>
    <w:rsid w:val="001C0822"/>
    <w:rsid w:val="0022318C"/>
    <w:rsid w:val="0025024F"/>
    <w:rsid w:val="00252672"/>
    <w:rsid w:val="002613BE"/>
    <w:rsid w:val="00275BD3"/>
    <w:rsid w:val="002A3D15"/>
    <w:rsid w:val="002B3B83"/>
    <w:rsid w:val="003A17BD"/>
    <w:rsid w:val="003E08EF"/>
    <w:rsid w:val="003F11BB"/>
    <w:rsid w:val="004B2160"/>
    <w:rsid w:val="004C56CA"/>
    <w:rsid w:val="00547A54"/>
    <w:rsid w:val="005561B5"/>
    <w:rsid w:val="00557E12"/>
    <w:rsid w:val="00560811"/>
    <w:rsid w:val="005C645C"/>
    <w:rsid w:val="005E581B"/>
    <w:rsid w:val="0062394B"/>
    <w:rsid w:val="00637E24"/>
    <w:rsid w:val="006410F0"/>
    <w:rsid w:val="0066011B"/>
    <w:rsid w:val="00665B03"/>
    <w:rsid w:val="006727A1"/>
    <w:rsid w:val="006737ED"/>
    <w:rsid w:val="006A1620"/>
    <w:rsid w:val="006E0CA1"/>
    <w:rsid w:val="006E4F0F"/>
    <w:rsid w:val="006E5EA6"/>
    <w:rsid w:val="006F006C"/>
    <w:rsid w:val="0073359E"/>
    <w:rsid w:val="0073508D"/>
    <w:rsid w:val="007519A8"/>
    <w:rsid w:val="00752705"/>
    <w:rsid w:val="007913B5"/>
    <w:rsid w:val="007C28C2"/>
    <w:rsid w:val="0081609C"/>
    <w:rsid w:val="008709C5"/>
    <w:rsid w:val="008B3162"/>
    <w:rsid w:val="008C4BB2"/>
    <w:rsid w:val="00997DF3"/>
    <w:rsid w:val="009B7E0E"/>
    <w:rsid w:val="009C4DE8"/>
    <w:rsid w:val="00A207B3"/>
    <w:rsid w:val="00A21A16"/>
    <w:rsid w:val="00A451D3"/>
    <w:rsid w:val="00A46D7C"/>
    <w:rsid w:val="00A61F50"/>
    <w:rsid w:val="00AD1020"/>
    <w:rsid w:val="00AF65D0"/>
    <w:rsid w:val="00B00CCD"/>
    <w:rsid w:val="00B12D1E"/>
    <w:rsid w:val="00B417DA"/>
    <w:rsid w:val="00B72548"/>
    <w:rsid w:val="00BA4CCF"/>
    <w:rsid w:val="00BB6D66"/>
    <w:rsid w:val="00BC7A8D"/>
    <w:rsid w:val="00BD09D1"/>
    <w:rsid w:val="00BD2F45"/>
    <w:rsid w:val="00BE1A61"/>
    <w:rsid w:val="00BF0910"/>
    <w:rsid w:val="00C1423B"/>
    <w:rsid w:val="00C80608"/>
    <w:rsid w:val="00CE0514"/>
    <w:rsid w:val="00CE5CFE"/>
    <w:rsid w:val="00D04B0E"/>
    <w:rsid w:val="00D04F02"/>
    <w:rsid w:val="00D05547"/>
    <w:rsid w:val="00D07DEA"/>
    <w:rsid w:val="00D26E72"/>
    <w:rsid w:val="00D473F6"/>
    <w:rsid w:val="00D4760D"/>
    <w:rsid w:val="00D90A71"/>
    <w:rsid w:val="00DA076F"/>
    <w:rsid w:val="00DA1D22"/>
    <w:rsid w:val="00DC6F10"/>
    <w:rsid w:val="00E45DC1"/>
    <w:rsid w:val="00E4676C"/>
    <w:rsid w:val="00E6059F"/>
    <w:rsid w:val="00E8503F"/>
    <w:rsid w:val="00F2572E"/>
    <w:rsid w:val="00F34AA0"/>
    <w:rsid w:val="00F35551"/>
    <w:rsid w:val="00F63FA9"/>
    <w:rsid w:val="00F7058D"/>
    <w:rsid w:val="00F85014"/>
    <w:rsid w:val="00F97739"/>
    <w:rsid w:val="00FF5754"/>
    <w:rsid w:val="02205FBB"/>
    <w:rsid w:val="0A7D3215"/>
    <w:rsid w:val="0C4A1B8C"/>
    <w:rsid w:val="1ED14BC1"/>
    <w:rsid w:val="24BC4FB2"/>
    <w:rsid w:val="24F01989"/>
    <w:rsid w:val="267078BE"/>
    <w:rsid w:val="30E471F8"/>
    <w:rsid w:val="4186771A"/>
    <w:rsid w:val="488E6C6B"/>
    <w:rsid w:val="4B11579C"/>
    <w:rsid w:val="514A41BF"/>
    <w:rsid w:val="5FEC20DB"/>
    <w:rsid w:val="68812398"/>
    <w:rsid w:val="6EB81E19"/>
    <w:rsid w:val="71F31288"/>
    <w:rsid w:val="780B1260"/>
    <w:rsid w:val="7AB9441E"/>
    <w:rsid w:val="7C71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themeColor="hyperlink"/>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日期 Char"/>
    <w:basedOn w:val="6"/>
    <w:link w:val="2"/>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装机版Ghost Win7 SP1 V2014.06</Company>
  <Pages>6</Pages>
  <Words>2293</Words>
  <Characters>2368</Characters>
  <Lines>16</Lines>
  <Paragraphs>4</Paragraphs>
  <TotalTime>6</TotalTime>
  <ScaleCrop>false</ScaleCrop>
  <LinksUpToDate>false</LinksUpToDate>
  <CharactersWithSpaces>2425</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2020-07-06T03:08:00Z</dcterms:created>
  <dc:creator>kjj</dc:creator>
  <cp:lastModifiedBy>林&amp;雀@豪&amp;鸣</cp:lastModifiedBy>
  <cp:lastPrinted>2022-05-26T08:16:00Z</cp:lastPrinted>
  <dcterms:modified xsi:type="dcterms:W3CDTF">2022-11-26T08:46:36Z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32277538D03F42AEB21AE4623F324532</vt:lpwstr>
  </property>
</Properties>
</file>