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560" w:lineRule="exact"/>
        <w:ind w:firstLine="720" w:firstLineChars="200"/>
        <w:jc w:val="center"/>
        <w:textAlignment w:val="auto"/>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2022年慈溪市民政局政府信息公开年度报告</w:t>
      </w:r>
    </w:p>
    <w:p>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宋体" w:hAnsi="宋体" w:cs="宋体"/>
          <w:b/>
          <w:bCs/>
          <w:sz w:val="32"/>
          <w:szCs w:val="32"/>
        </w:rPr>
      </w:pPr>
    </w:p>
    <w:p>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ascii="??_GB2312" w:hAnsi="??_GB2312" w:eastAsia="Times New Roman" w:cs="??_GB2312"/>
          <w:b/>
          <w:bCs/>
          <w:sz w:val="32"/>
          <w:szCs w:val="32"/>
        </w:rPr>
      </w:pPr>
      <w:r>
        <w:rPr>
          <w:rFonts w:hint="eastAsia" w:ascii="宋体" w:hAnsi="宋体" w:cs="宋体"/>
          <w:b/>
          <w:bCs/>
          <w:sz w:val="32"/>
          <w:szCs w:val="32"/>
        </w:rPr>
        <w:t>一、总体情况</w:t>
      </w:r>
    </w:p>
    <w:p>
      <w:pPr>
        <w:pStyle w:val="2"/>
        <w:keepNext w:val="0"/>
        <w:keepLines w:val="0"/>
        <w:pageBreakBefore w:val="0"/>
        <w:widowControl/>
        <w:suppressLineNumbers w:val="0"/>
        <w:kinsoku/>
        <w:wordWrap w:val="0"/>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2022年，</w:t>
      </w:r>
      <w:r>
        <w:rPr>
          <w:rFonts w:hint="eastAsia" w:ascii="仿宋_GB2312" w:hAnsi="仿宋_GB2312" w:eastAsia="仿宋_GB2312" w:cs="仿宋_GB2312"/>
          <w:color w:val="000000" w:themeColor="text1"/>
          <w:sz w:val="32"/>
          <w:szCs w:val="32"/>
          <w:lang w:eastAsia="zh-CN"/>
          <w14:textFill>
            <w14:solidFill>
              <w14:schemeClr w14:val="tx1"/>
            </w14:solidFill>
          </w14:textFill>
        </w:rPr>
        <w:t>我局</w:t>
      </w:r>
      <w:r>
        <w:rPr>
          <w:rFonts w:hint="eastAsia" w:ascii="仿宋_GB2312" w:hAnsi="仿宋_GB2312" w:eastAsia="仿宋_GB2312" w:cs="仿宋_GB2312"/>
          <w:bCs/>
          <w:sz w:val="32"/>
          <w:szCs w:val="32"/>
          <w:lang w:val="en-US" w:eastAsia="zh-CN"/>
        </w:rPr>
        <w:t>坚持以习近平新时代中国特色社会主义思想为指导，</w:t>
      </w:r>
      <w:r>
        <w:rPr>
          <w:rFonts w:hint="eastAsia" w:ascii="仿宋_GB2312" w:hAnsi="仿宋_GB2312" w:eastAsia="仿宋_GB2312" w:cs="仿宋_GB2312"/>
          <w:color w:val="000000" w:themeColor="text1"/>
          <w:sz w:val="32"/>
          <w:szCs w:val="32"/>
          <w14:textFill>
            <w14:solidFill>
              <w14:schemeClr w14:val="tx1"/>
            </w14:solidFill>
          </w14:textFill>
        </w:rPr>
        <w:t>深入学习宣传贯彻党的二十大精神</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认真贯彻落实《中华人民共和国政府信息公开条例》及国家、省、市有关政府信息公开工作要求，加强民主监督，自觉接受群众监督，以公开促工作、树形象，不断推进依法行政、优质行政、廉洁行政，圆满完成2022年度政府信息公开工作。具体情况如下</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keepNext w:val="0"/>
        <w:keepLines w:val="0"/>
        <w:pageBreakBefore w:val="0"/>
        <w:numPr>
          <w:ilvl w:val="0"/>
          <w:numId w:val="1"/>
        </w:numPr>
        <w:kinsoku/>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主动公开</w:t>
      </w:r>
      <w:r>
        <w:rPr>
          <w:rFonts w:hint="eastAsia" w:ascii="仿宋_GB2312" w:hAnsi="仿宋_GB2312" w:eastAsia="仿宋_GB2312" w:cs="仿宋_GB2312"/>
          <w:color w:val="000000" w:themeColor="text1"/>
          <w:sz w:val="32"/>
          <w:szCs w:val="32"/>
          <w:lang w:eastAsia="zh-CN"/>
          <w14:textFill>
            <w14:solidFill>
              <w14:schemeClr w14:val="tx1"/>
            </w14:solidFill>
          </w14:textFill>
        </w:rPr>
        <w:t>情况。</w:t>
      </w: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为有力</w:t>
      </w:r>
      <w:bookmarkStart w:id="0" w:name="_GoBack"/>
      <w:bookmarkEnd w:id="0"/>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保障公民、法人或者其他组织依法获取政府信息，实现人民群众对政府工作的知情权、参与权、表达权和监督权，充分发挥政府信息对人民群众生产、生活和经济社会活动的服务作用。我局采取有效措施，以</w:t>
      </w:r>
      <w:r>
        <w:rPr>
          <w:rFonts w:hint="eastAsia" w:ascii="仿宋_GB2312" w:hAnsi="仿宋_GB2312" w:eastAsia="仿宋_GB2312" w:cs="仿宋_GB2312"/>
          <w:bCs/>
          <w:sz w:val="32"/>
          <w:szCs w:val="32"/>
          <w:lang w:val="en-US" w:eastAsia="zh-CN"/>
        </w:rPr>
        <w:t>市政府信息公开网站和慈溪民政公众号</w:t>
      </w: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为主，以其他各种信息传播媒体为辅，做到及时全面公开。2022年，我局公开信息385条，按照“谁起草、谁解读”的原则，实现规范性文件解读全覆盖，图解解读规范性文件3件。</w:t>
      </w:r>
    </w:p>
    <w:p>
      <w:pPr>
        <w:keepNext w:val="0"/>
        <w:keepLines w:val="0"/>
        <w:pageBreakBefore w:val="0"/>
        <w:numPr>
          <w:ilvl w:val="0"/>
          <w:numId w:val="1"/>
        </w:numPr>
        <w:kinsoku/>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color w:val="000000" w:themeColor="text1"/>
          <w:sz w:val="32"/>
          <w:szCs w:val="32"/>
          <w14:textFill>
            <w14:solidFill>
              <w14:schemeClr w14:val="tx1"/>
            </w14:solidFill>
          </w14:textFill>
        </w:rPr>
        <w:t>依申请公开</w:t>
      </w:r>
      <w:r>
        <w:rPr>
          <w:rFonts w:hint="eastAsia" w:ascii="仿宋_GB2312" w:hAnsi="仿宋_GB2312" w:eastAsia="仿宋_GB2312" w:cs="仿宋_GB2312"/>
          <w:color w:val="000000" w:themeColor="text1"/>
          <w:sz w:val="32"/>
          <w:szCs w:val="32"/>
          <w:lang w:eastAsia="zh-CN"/>
          <w14:textFill>
            <w14:solidFill>
              <w14:schemeClr w14:val="tx1"/>
            </w14:solidFill>
          </w14:textFill>
        </w:rPr>
        <w:t>情况。</w:t>
      </w:r>
      <w:r>
        <w:rPr>
          <w:rFonts w:hint="eastAsia" w:ascii="仿宋_GB2312" w:hAnsi="仿宋_GB2312" w:eastAsia="仿宋_GB2312" w:cs="仿宋_GB2312"/>
          <w:bCs/>
          <w:sz w:val="32"/>
          <w:szCs w:val="32"/>
          <w:lang w:val="en-US" w:eastAsia="zh-CN"/>
        </w:rPr>
        <w:t>规范依申请公开办理工作，</w:t>
      </w: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明确详细的受理程序，并落实专职工作人员为公众提供本单位依申请公开的政府信息。</w:t>
      </w:r>
      <w:r>
        <w:rPr>
          <w:rFonts w:hint="eastAsia" w:ascii="仿宋_GB2312" w:hAnsi="仿宋_GB2312" w:eastAsia="仿宋_GB2312" w:cs="仿宋_GB2312"/>
          <w:bCs/>
          <w:sz w:val="32"/>
          <w:szCs w:val="32"/>
          <w:lang w:val="en-US" w:eastAsia="zh-CN"/>
        </w:rPr>
        <w:t>2022年，我局收到信息公开申请2件，内容涉及地名命名相关工作，均依法依规按期答复，行政诉讼1件，未发生行政复议。</w:t>
      </w:r>
    </w:p>
    <w:p>
      <w:pPr>
        <w:pStyle w:val="2"/>
        <w:keepNext w:val="0"/>
        <w:keepLines w:val="0"/>
        <w:pageBreakBefore w:val="0"/>
        <w:widowControl/>
        <w:suppressLineNumbers w:val="0"/>
        <w:kinsoku/>
        <w:wordWrap w:val="0"/>
        <w:overflowPunct/>
        <w:topLinePunct w:val="0"/>
        <w:autoSpaceDE/>
        <w:autoSpaceDN/>
        <w:bidi w:val="0"/>
        <w:adjustRightInd/>
        <w:snapToGrid/>
        <w:spacing w:line="560" w:lineRule="exact"/>
        <w:ind w:left="0" w:leftChars="0"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p>
    <w:p>
      <w:pPr>
        <w:keepNext w:val="0"/>
        <w:keepLines w:val="0"/>
        <w:pageBreakBefore w:val="0"/>
        <w:widowControl/>
        <w:suppressLineNumbers w:val="0"/>
        <w:kinsoku/>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（三）</w:t>
      </w:r>
      <w:r>
        <w:rPr>
          <w:rFonts w:hint="eastAsia" w:ascii="仿宋_GB2312" w:hAnsi="仿宋_GB2312" w:eastAsia="仿宋_GB2312" w:cs="仿宋_GB2312"/>
          <w:color w:val="000000" w:themeColor="text1"/>
          <w:sz w:val="32"/>
          <w:szCs w:val="32"/>
          <w14:textFill>
            <w14:solidFill>
              <w14:schemeClr w14:val="tx1"/>
            </w14:solidFill>
          </w14:textFill>
        </w:rPr>
        <w:t>政府信息管理</w:t>
      </w:r>
      <w:r>
        <w:rPr>
          <w:rFonts w:hint="eastAsia" w:ascii="仿宋_GB2312" w:hAnsi="仿宋_GB2312" w:eastAsia="仿宋_GB2312" w:cs="仿宋_GB2312"/>
          <w:color w:val="000000" w:themeColor="text1"/>
          <w:sz w:val="32"/>
          <w:szCs w:val="32"/>
          <w:lang w:eastAsia="zh-CN"/>
          <w14:textFill>
            <w14:solidFill>
              <w14:schemeClr w14:val="tx1"/>
            </w14:solidFill>
          </w14:textFill>
        </w:rPr>
        <w:t>情况。</w:t>
      </w:r>
      <w:r>
        <w:rPr>
          <w:rFonts w:hint="eastAsia" w:ascii="仿宋_GB2312" w:hAnsi="仿宋_GB2312" w:eastAsia="仿宋_GB2312" w:cs="仿宋_GB2312"/>
          <w:bCs/>
          <w:sz w:val="32"/>
          <w:szCs w:val="32"/>
          <w:lang w:val="en-US" w:eastAsia="zh-CN"/>
        </w:rPr>
        <w:t>根据《</w:t>
      </w:r>
      <w:r>
        <w:rPr>
          <w:rFonts w:hint="eastAsia" w:ascii="仿宋_GB2312" w:hAnsi="仿宋_GB2312" w:eastAsia="仿宋_GB2312" w:cs="仿宋_GB2312"/>
          <w:kern w:val="0"/>
          <w:sz w:val="32"/>
          <w:szCs w:val="32"/>
          <w:lang w:val="en-US" w:eastAsia="zh-CN" w:bidi="ar"/>
        </w:rPr>
        <w:t>2022年慈溪市政务公开工作要点</w:t>
      </w:r>
      <w:r>
        <w:rPr>
          <w:rFonts w:hint="eastAsia" w:ascii="仿宋_GB2312" w:hAnsi="仿宋_GB2312" w:eastAsia="仿宋_GB2312" w:cs="仿宋_GB2312"/>
          <w:bCs/>
          <w:sz w:val="32"/>
          <w:szCs w:val="32"/>
          <w:lang w:val="en-US" w:eastAsia="zh-CN"/>
        </w:rPr>
        <w:t>》精神，明确民政领域工作任务，优化政府信息分类整合，聚焦法定主动公开内容，动态调整政府信息公开栏目，集约化、规范化有序发布展示各类信息。高质量发布现行有效规章和行政规范性文件，及时做好行政规范性文件清理工作，对规范性文件数据库进行再梳理、再核对，查漏补缺、及时更新。</w:t>
      </w:r>
    </w:p>
    <w:p>
      <w:pPr>
        <w:pStyle w:val="2"/>
        <w:keepNext w:val="0"/>
        <w:keepLines w:val="0"/>
        <w:pageBreakBefore w:val="0"/>
        <w:widowControl/>
        <w:suppressLineNumbers w:val="0"/>
        <w:kinsoku/>
        <w:wordWrap w:val="0"/>
        <w:overflowPunct/>
        <w:topLinePunct w:val="0"/>
        <w:autoSpaceDE/>
        <w:autoSpaceDN/>
        <w:bidi w:val="0"/>
        <w:adjustRightInd/>
        <w:snapToGrid/>
        <w:spacing w:line="560" w:lineRule="exact"/>
        <w:ind w:left="0" w:leftChars="0"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（四）</w:t>
      </w:r>
      <w:r>
        <w:rPr>
          <w:rFonts w:hint="eastAsia" w:ascii="仿宋_GB2312" w:hAnsi="仿宋_GB2312" w:eastAsia="仿宋_GB2312" w:cs="仿宋_GB2312"/>
          <w:color w:val="000000" w:themeColor="text1"/>
          <w:sz w:val="32"/>
          <w:szCs w:val="32"/>
          <w14:textFill>
            <w14:solidFill>
              <w14:schemeClr w14:val="tx1"/>
            </w14:solidFill>
          </w14:textFill>
        </w:rPr>
        <w:t>政府信息公开平台建设</w:t>
      </w:r>
      <w:r>
        <w:rPr>
          <w:rFonts w:hint="eastAsia" w:ascii="仿宋_GB2312" w:hAnsi="仿宋_GB2312" w:eastAsia="仿宋_GB2312" w:cs="仿宋_GB2312"/>
          <w:color w:val="000000" w:themeColor="text1"/>
          <w:sz w:val="32"/>
          <w:szCs w:val="32"/>
          <w:lang w:eastAsia="zh-CN"/>
          <w14:textFill>
            <w14:solidFill>
              <w14:schemeClr w14:val="tx1"/>
            </w14:solidFill>
          </w14:textFill>
        </w:rPr>
        <w:t>情况。</w:t>
      </w:r>
      <w:r>
        <w:rPr>
          <w:rFonts w:hint="eastAsia" w:ascii="仿宋_GB2312" w:hAnsi="仿宋_GB2312" w:eastAsia="仿宋_GB2312" w:cs="仿宋_GB2312"/>
          <w:sz w:val="32"/>
          <w:szCs w:val="32"/>
          <w:lang w:val="en-US" w:eastAsia="zh-CN"/>
        </w:rPr>
        <w:t>注重网站管理，专人负责公开目录的维护更新工作。</w:t>
      </w:r>
      <w:r>
        <w:rPr>
          <w:rFonts w:hint="eastAsia" w:ascii="仿宋_GB2312" w:hAnsi="仿宋_GB2312" w:eastAsia="仿宋_GB2312" w:cs="仿宋_GB2312"/>
          <w:bCs/>
          <w:kern w:val="2"/>
          <w:sz w:val="32"/>
          <w:szCs w:val="32"/>
          <w:lang w:val="en-US" w:eastAsia="zh-CN" w:bidi="ar-SA"/>
        </w:rPr>
        <w:t>提升完善网上办事服务，深化全市政府网站集约共享，推动民政政策信息“一网通查”、“一网通办”、“一网通答”。扎实推进基层政务新媒体规范化建设工作，建立校审登记制度，提升信息发布质量，加强政务新媒体信息安全监管。</w:t>
      </w:r>
    </w:p>
    <w:p>
      <w:pPr>
        <w:pStyle w:val="2"/>
        <w:keepNext w:val="0"/>
        <w:keepLines w:val="0"/>
        <w:pageBreakBefore w:val="0"/>
        <w:widowControl/>
        <w:suppressLineNumbers w:val="0"/>
        <w:kinsoku/>
        <w:wordWrap w:val="0"/>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（五）</w:t>
      </w:r>
      <w:r>
        <w:rPr>
          <w:rFonts w:hint="eastAsia" w:ascii="仿宋_GB2312" w:hAnsi="仿宋_GB2312" w:eastAsia="仿宋_GB2312" w:cs="仿宋_GB2312"/>
          <w:color w:val="000000" w:themeColor="text1"/>
          <w:sz w:val="32"/>
          <w:szCs w:val="32"/>
          <w14:textFill>
            <w14:solidFill>
              <w14:schemeClr w14:val="tx1"/>
            </w14:solidFill>
          </w14:textFill>
        </w:rPr>
        <w:t>监督保障</w:t>
      </w:r>
      <w:r>
        <w:rPr>
          <w:rFonts w:hint="eastAsia" w:ascii="仿宋_GB2312" w:hAnsi="仿宋_GB2312" w:eastAsia="仿宋_GB2312" w:cs="仿宋_GB2312"/>
          <w:color w:val="000000" w:themeColor="text1"/>
          <w:sz w:val="32"/>
          <w:szCs w:val="32"/>
          <w:lang w:eastAsia="zh-CN"/>
          <w14:textFill>
            <w14:solidFill>
              <w14:schemeClr w14:val="tx1"/>
            </w14:solidFill>
          </w14:textFill>
        </w:rPr>
        <w:t>情况。</w:t>
      </w:r>
      <w:r>
        <w:rPr>
          <w:rFonts w:hint="eastAsia" w:ascii="仿宋_GB2312" w:hAnsi="仿宋_GB2312" w:eastAsia="仿宋_GB2312" w:cs="仿宋_GB2312"/>
          <w:bCs/>
          <w:kern w:val="2"/>
          <w:sz w:val="32"/>
          <w:szCs w:val="32"/>
          <w:lang w:val="en-US" w:eastAsia="zh-CN" w:bidi="ar-SA"/>
        </w:rPr>
        <w:t>将政府信息公开工作纳入局重要工作，加大对信息的监督审核力度，严格遵循“涉密信息不公开，公开信息不涉密”和“先审查后公开，谁公开谁负责”的原则，凡是要公开的信息，均先报办公室审核后再报局领导审定，确保了公开信息的规范性和合法性，积极参加全市统一的政务公开社会评议并定期按规定发布责任追究情况。</w:t>
      </w:r>
    </w:p>
    <w:p>
      <w:pPr>
        <w:spacing w:line="560" w:lineRule="exact"/>
        <w:ind w:firstLine="643" w:firstLineChars="200"/>
        <w:jc w:val="left"/>
        <w:rPr>
          <w:rFonts w:ascii="??_GB2312" w:hAnsi="??_GB2312" w:eastAsia="Times New Roman" w:cs="??_GB2312"/>
          <w:b/>
          <w:bCs/>
          <w:sz w:val="32"/>
          <w:szCs w:val="32"/>
        </w:rPr>
      </w:pPr>
      <w:r>
        <w:rPr>
          <w:rFonts w:hint="eastAsia" w:ascii="宋体" w:hAnsi="宋体" w:cs="宋体"/>
          <w:b/>
          <w:bCs/>
          <w:sz w:val="32"/>
          <w:szCs w:val="32"/>
        </w:rPr>
        <w:t>二、主动公开政府信息情况</w:t>
      </w:r>
    </w:p>
    <w:tbl>
      <w:tblPr>
        <w:tblStyle w:val="3"/>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本年制发件数</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本年废止件数</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cs="宋体"/>
                <w:sz w:val="24"/>
                <w:szCs w:val="24"/>
              </w:rPr>
              <w:t>规章</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eastAsia="zh-CN"/>
              </w:rPr>
            </w:pPr>
            <w:r>
              <w:rPr>
                <w:rFonts w:hint="eastAsia" w:ascii="??_GB2312" w:hAnsi="??_GB2312"/>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cs="宋体"/>
                <w:sz w:val="24"/>
                <w:szCs w:val="24"/>
              </w:rPr>
              <w:t>行政规范性文件</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3</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_GB2312" w:hAnsi="??_GB2312" w:eastAsia="宋体"/>
                <w:sz w:val="24"/>
                <w:szCs w:val="24"/>
                <w:lang w:val="en-US" w:eastAsia="zh-CN"/>
              </w:rPr>
            </w:pPr>
            <w:r>
              <w:rPr>
                <w:rFonts w:hint="eastAsia" w:ascii="??_GB2312" w:hAnsi="??_GB2312"/>
                <w:sz w:val="24"/>
                <w:szCs w:val="24"/>
                <w:lang w:val="en-US" w:eastAsia="zh-CN"/>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cs="宋体"/>
                <w:sz w:val="24"/>
                <w:szCs w:val="24"/>
              </w:rPr>
              <w:t>行政许可</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_GB2312" w:hAnsi="??_GB2312" w:eastAsia="宋体"/>
                <w:sz w:val="24"/>
                <w:szCs w:val="24"/>
                <w:highlight w:val="yellow"/>
                <w:lang w:val="en-US" w:eastAsia="zh-CN"/>
              </w:rPr>
            </w:pPr>
            <w:r>
              <w:rPr>
                <w:rFonts w:hint="eastAsia" w:ascii="??_GB2312" w:hAnsi="??_GB2312"/>
                <w:sz w:val="24"/>
                <w:szCs w:val="24"/>
                <w:highlight w:val="none"/>
                <w:lang w:val="en-US" w:eastAsia="zh-CN"/>
              </w:rPr>
              <w:t>465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cs="宋体"/>
                <w:sz w:val="24"/>
                <w:szCs w:val="24"/>
              </w:rPr>
              <w:t>行政处罚</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_GB2312" w:hAnsi="??_GB2312" w:eastAsia="宋体"/>
                <w:sz w:val="24"/>
                <w:szCs w:val="24"/>
                <w:lang w:val="en-US" w:eastAsia="zh-CN"/>
              </w:rPr>
            </w:pPr>
            <w:r>
              <w:rPr>
                <w:rFonts w:hint="eastAsia" w:ascii="??_GB2312" w:hAnsi="??_GB2312"/>
                <w:sz w:val="24"/>
                <w:szCs w:val="24"/>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cs="宋体"/>
                <w:sz w:val="24"/>
                <w:szCs w:val="24"/>
              </w:rPr>
              <w:t>行政强制</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cs="宋体"/>
                <w:sz w:val="24"/>
                <w:szCs w:val="24"/>
              </w:rPr>
              <w:t>行政事业性收费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bl>
    <w:p>
      <w:pPr>
        <w:spacing w:line="560" w:lineRule="exact"/>
        <w:ind w:firstLine="643" w:firstLineChars="200"/>
        <w:jc w:val="left"/>
        <w:rPr>
          <w:rFonts w:ascii="??_GB2312" w:hAnsi="??_GB2312" w:eastAsia="Times New Roman" w:cs="??_GB2312"/>
          <w:b/>
          <w:bCs/>
          <w:sz w:val="32"/>
          <w:szCs w:val="32"/>
        </w:rPr>
      </w:pPr>
      <w:r>
        <w:rPr>
          <w:rFonts w:hint="eastAsia" w:ascii="宋体" w:hAnsi="宋体" w:cs="宋体"/>
          <w:b/>
          <w:bCs/>
          <w:sz w:val="32"/>
          <w:szCs w:val="32"/>
        </w:rPr>
        <w:t>三、收到和处理政府信息公开申请情况</w:t>
      </w:r>
    </w:p>
    <w:tbl>
      <w:tblPr>
        <w:tblStyle w:val="3"/>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r>
              <w:rPr>
                <w:rFonts w:hint="eastAsia" w:ascii="宋体" w:hAnsi="宋体" w:cs="宋体"/>
                <w:sz w:val="24"/>
                <w:szCs w:val="24"/>
              </w:rPr>
              <w:t>（本列数据的勾稽关系为：第一项加第二项之和，等于第三项加第四项之和）</w:t>
            </w:r>
          </w:p>
        </w:tc>
        <w:tc>
          <w:tcPr>
            <w:tcW w:w="4812" w:type="dxa"/>
            <w:gridSpan w:val="7"/>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p>
        </w:tc>
        <w:tc>
          <w:tcPr>
            <w:tcW w:w="69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自然人</w:t>
            </w:r>
          </w:p>
        </w:tc>
        <w:tc>
          <w:tcPr>
            <w:tcW w:w="3597" w:type="dxa"/>
            <w:gridSpan w:val="5"/>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法人或其他组织</w:t>
            </w:r>
          </w:p>
        </w:tc>
        <w:tc>
          <w:tcPr>
            <w:tcW w:w="519"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p>
        </w:tc>
        <w:tc>
          <w:tcPr>
            <w:tcW w:w="69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sz w:val="24"/>
                <w:szCs w:val="24"/>
              </w:rPr>
            </w:pP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商业企业</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科研机构</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社会公益组织</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法律服务机构</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其他</w:t>
            </w:r>
          </w:p>
        </w:tc>
        <w:tc>
          <w:tcPr>
            <w:tcW w:w="51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一、本年新收到政府信息公开申请数量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2</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二、上年结转政府信息公开申请数量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三、本年度办理结果</w:t>
            </w: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（一）予以公开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2</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（二）部分公开（区分处理的，只计这一情形，不计其他情形）</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（三）不予公开</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1.</w:t>
            </w:r>
            <w:r>
              <w:rPr>
                <w:rFonts w:hint="eastAsia" w:ascii="宋体" w:hAnsi="宋体" w:cs="宋体"/>
                <w:sz w:val="24"/>
                <w:szCs w:val="24"/>
              </w:rPr>
              <w:t>属于国家秘密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2.</w:t>
            </w:r>
            <w:r>
              <w:rPr>
                <w:rFonts w:hint="eastAsia" w:ascii="宋体" w:hAnsi="宋体" w:cs="宋体"/>
                <w:sz w:val="24"/>
                <w:szCs w:val="24"/>
              </w:rPr>
              <w:t>其他法律行政法规禁止公开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3.</w:t>
            </w:r>
            <w:r>
              <w:rPr>
                <w:rFonts w:hint="eastAsia" w:ascii="宋体" w:hAnsi="宋体" w:cs="宋体"/>
                <w:sz w:val="24"/>
                <w:szCs w:val="24"/>
              </w:rPr>
              <w:t>危及</w:t>
            </w:r>
            <w:r>
              <w:rPr>
                <w:rFonts w:ascii="??_GB2312" w:hAnsi="??_GB2312" w:eastAsia="Times New Roman" w:cs="??_GB2312"/>
                <w:sz w:val="24"/>
                <w:szCs w:val="24"/>
              </w:rPr>
              <w:t>“</w:t>
            </w:r>
            <w:r>
              <w:rPr>
                <w:rFonts w:hint="eastAsia" w:ascii="宋体" w:hAnsi="宋体" w:cs="宋体"/>
                <w:sz w:val="24"/>
                <w:szCs w:val="24"/>
              </w:rPr>
              <w:t>三安全一稳定</w:t>
            </w:r>
            <w:r>
              <w:rPr>
                <w:rFonts w:ascii="??_GB2312" w:hAnsi="??_GB2312" w:eastAsia="Times New Roman" w:cs="??_GB2312"/>
                <w:sz w:val="24"/>
                <w:szCs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4.</w:t>
            </w:r>
            <w:r>
              <w:rPr>
                <w:rFonts w:hint="eastAsia" w:ascii="宋体" w:hAnsi="宋体" w:cs="宋体"/>
                <w:sz w:val="24"/>
                <w:szCs w:val="24"/>
              </w:rPr>
              <w:t>保护第三方合法权益</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5.</w:t>
            </w:r>
            <w:r>
              <w:rPr>
                <w:rFonts w:hint="eastAsia" w:ascii="宋体" w:hAnsi="宋体" w:cs="宋体"/>
                <w:sz w:val="24"/>
                <w:szCs w:val="24"/>
              </w:rPr>
              <w:t>属于三类内部事务信息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6.</w:t>
            </w:r>
            <w:r>
              <w:rPr>
                <w:rFonts w:hint="eastAsia" w:ascii="宋体" w:hAnsi="宋体" w:cs="宋体"/>
                <w:sz w:val="24"/>
                <w:szCs w:val="24"/>
              </w:rPr>
              <w:t>属于四类过程性信息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7.</w:t>
            </w:r>
            <w:r>
              <w:rPr>
                <w:rFonts w:hint="eastAsia" w:ascii="宋体" w:hAnsi="宋体" w:cs="宋体"/>
                <w:sz w:val="24"/>
                <w:szCs w:val="24"/>
              </w:rPr>
              <w:t>属于行政执法案卷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8.</w:t>
            </w:r>
            <w:r>
              <w:rPr>
                <w:rFonts w:hint="eastAsia" w:ascii="宋体" w:hAnsi="宋体" w:cs="宋体"/>
                <w:sz w:val="24"/>
                <w:szCs w:val="24"/>
              </w:rPr>
              <w:t>属于行政查询事项</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（四）无法提供</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1.</w:t>
            </w:r>
            <w:r>
              <w:rPr>
                <w:rFonts w:hint="eastAsia" w:ascii="宋体" w:hAnsi="宋体" w:cs="宋体"/>
                <w:sz w:val="24"/>
                <w:szCs w:val="24"/>
              </w:rPr>
              <w:t>本机关不掌握相关政府信息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2.</w:t>
            </w:r>
            <w:r>
              <w:rPr>
                <w:rFonts w:hint="eastAsia" w:ascii="宋体" w:hAnsi="宋体" w:cs="宋体"/>
                <w:sz w:val="24"/>
                <w:szCs w:val="24"/>
              </w:rPr>
              <w:t>没有现成信息需要另行制作</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3.</w:t>
            </w:r>
            <w:r>
              <w:rPr>
                <w:rFonts w:hint="eastAsia" w:ascii="宋体" w:hAnsi="宋体" w:cs="宋体"/>
                <w:sz w:val="24"/>
                <w:szCs w:val="24"/>
              </w:rPr>
              <w:t>补正后申请内容仍不明确</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（五）不予处理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1.</w:t>
            </w:r>
            <w:r>
              <w:rPr>
                <w:rFonts w:hint="eastAsia" w:ascii="宋体" w:hAnsi="宋体" w:cs="宋体"/>
                <w:sz w:val="24"/>
                <w:szCs w:val="24"/>
              </w:rPr>
              <w:t>信访举报投诉类申请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2.</w:t>
            </w:r>
            <w:r>
              <w:rPr>
                <w:rFonts w:hint="eastAsia" w:ascii="宋体" w:hAnsi="宋体" w:cs="宋体"/>
                <w:sz w:val="24"/>
                <w:szCs w:val="24"/>
              </w:rPr>
              <w:t>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3.</w:t>
            </w:r>
            <w:r>
              <w:rPr>
                <w:rFonts w:hint="eastAsia" w:ascii="宋体" w:hAnsi="宋体" w:cs="宋体"/>
                <w:sz w:val="24"/>
                <w:szCs w:val="24"/>
              </w:rPr>
              <w:t>要求提供公开出版物</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4.</w:t>
            </w:r>
            <w:r>
              <w:rPr>
                <w:rFonts w:hint="eastAsia" w:ascii="宋体" w:hAnsi="宋体" w:cs="宋体"/>
                <w:sz w:val="24"/>
                <w:szCs w:val="24"/>
              </w:rPr>
              <w:t>无正当理由大量反复申请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5.</w:t>
            </w:r>
            <w:r>
              <w:rPr>
                <w:rFonts w:hint="eastAsia" w:ascii="宋体" w:hAnsi="宋体" w:cs="宋体"/>
                <w:sz w:val="24"/>
                <w:szCs w:val="24"/>
              </w:rPr>
              <w:t>要求行政机关确认或重新出具已获取信息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（六）其他处理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s="??_GB2312"/>
                <w:sz w:val="24"/>
                <w:szCs w:val="24"/>
              </w:rPr>
            </w:pPr>
            <w:r>
              <w:rPr>
                <w:rFonts w:ascii="??_GB2312" w:hAnsi="??_GB2312" w:eastAsia="Times New Roman" w:cs="??_GB2312"/>
                <w:sz w:val="24"/>
                <w:szCs w:val="24"/>
              </w:rPr>
              <w:t>1.</w:t>
            </w:r>
            <w:r>
              <w:rPr>
                <w:rFonts w:hint="eastAsia" w:ascii="宋体" w:hAnsi="宋体" w:cs="宋体"/>
                <w:sz w:val="24"/>
                <w:szCs w:val="24"/>
              </w:rPr>
              <w:t>申请人无正当理由逾期不补正、行政机关不再处理其政府信息公开申请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s="??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s="??_GB2312"/>
                <w:sz w:val="24"/>
                <w:szCs w:val="24"/>
              </w:rPr>
            </w:pPr>
            <w:r>
              <w:rPr>
                <w:rFonts w:ascii="??_GB2312" w:hAnsi="??_GB2312" w:eastAsia="Times New Roman" w:cs="??_GB2312"/>
                <w:sz w:val="24"/>
                <w:szCs w:val="24"/>
              </w:rPr>
              <w:t>2.</w:t>
            </w:r>
            <w:r>
              <w:rPr>
                <w:rFonts w:hint="eastAsia" w:ascii="宋体" w:hAnsi="宋体" w:cs="宋体"/>
                <w:sz w:val="24"/>
                <w:szCs w:val="24"/>
              </w:rPr>
              <w:t>申请人逾期未按收费通知要求缴纳费用、行政机关不再处理其政府信息公开申请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s="??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s="??_GB2312"/>
                <w:sz w:val="24"/>
                <w:szCs w:val="24"/>
              </w:rPr>
            </w:pPr>
            <w:r>
              <w:rPr>
                <w:rFonts w:ascii="??_GB2312" w:hAnsi="??_GB2312" w:eastAsia="Times New Roman" w:cs="??_GB2312"/>
                <w:sz w:val="24"/>
                <w:szCs w:val="24"/>
              </w:rPr>
              <w:t>3.</w:t>
            </w:r>
            <w:r>
              <w:rPr>
                <w:rFonts w:hint="eastAsia" w:ascii="宋体" w:hAnsi="宋体" w:cs="宋体"/>
                <w:sz w:val="24"/>
                <w:szCs w:val="24"/>
              </w:rPr>
              <w:t>其他</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（七）总计</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2</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四、结转下年度继续办理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bl>
    <w:p>
      <w:pPr>
        <w:spacing w:line="560" w:lineRule="exact"/>
        <w:ind w:firstLine="643" w:firstLineChars="200"/>
        <w:rPr>
          <w:rFonts w:ascii="??_GB2312" w:hAnsi="??_GB2312" w:eastAsia="Times New Roman" w:cs="??_GB2312"/>
          <w:b/>
          <w:bCs/>
          <w:sz w:val="32"/>
          <w:szCs w:val="32"/>
        </w:rPr>
      </w:pPr>
      <w:r>
        <w:rPr>
          <w:rFonts w:hint="eastAsia" w:ascii="宋体" w:hAnsi="宋体" w:cs="宋体"/>
          <w:b/>
          <w:bCs/>
          <w:sz w:val="32"/>
          <w:szCs w:val="32"/>
        </w:rPr>
        <w:t>四、政府信息公开行政复议、行政诉讼情况</w:t>
      </w:r>
    </w:p>
    <w:tbl>
      <w:tblPr>
        <w:tblStyle w:val="3"/>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29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行政复议</w:t>
            </w:r>
          </w:p>
        </w:tc>
        <w:tc>
          <w:tcPr>
            <w:tcW w:w="5846"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结果维持</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结果纠正</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其他结果</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尚未审结</w:t>
            </w:r>
          </w:p>
        </w:tc>
        <w:tc>
          <w:tcPr>
            <w:tcW w:w="66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总计</w:t>
            </w:r>
          </w:p>
        </w:tc>
        <w:tc>
          <w:tcPr>
            <w:tcW w:w="2892"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未经复议直接起诉</w:t>
            </w:r>
          </w:p>
        </w:tc>
        <w:tc>
          <w:tcPr>
            <w:tcW w:w="2954"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66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其他结果</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尚未审结</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总计</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其他结果</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尚未审结</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2" w:hRule="atLeast"/>
          <w:jc w:val="center"/>
        </w:trPr>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_GB2312" w:hAnsi="??_GB2312"/>
                <w:sz w:val="24"/>
                <w:szCs w:val="24"/>
                <w:lang w:val="en-US" w:eastAsia="zh-CN"/>
              </w:rPr>
            </w:pPr>
            <w:r>
              <w:rPr>
                <w:rFonts w:hint="eastAsia" w:ascii="??_GB2312" w:hAnsi="??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_GB2312" w:hAnsi="??_GB2312"/>
                <w:sz w:val="24"/>
                <w:szCs w:val="24"/>
                <w:lang w:val="en-US" w:eastAsia="zh-CN"/>
              </w:rPr>
            </w:pPr>
            <w:r>
              <w:rPr>
                <w:rFonts w:hint="eastAsia" w:ascii="??_GB2312" w:hAnsi="??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_GB2312" w:hAnsi="??_GB2312"/>
                <w:sz w:val="24"/>
                <w:szCs w:val="24"/>
                <w:lang w:val="en-US" w:eastAsia="zh-CN"/>
              </w:rPr>
            </w:pPr>
            <w:r>
              <w:rPr>
                <w:rFonts w:hint="eastAsia" w:ascii="??_GB2312" w:hAnsi="??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_GB2312" w:hAnsi="??_GB2312"/>
                <w:sz w:val="24"/>
                <w:szCs w:val="24"/>
                <w:lang w:val="en-US" w:eastAsia="zh-CN"/>
              </w:rPr>
            </w:pPr>
            <w:r>
              <w:rPr>
                <w:rFonts w:hint="eastAsia" w:ascii="??_GB2312" w:hAnsi="??_GB2312"/>
                <w:sz w:val="24"/>
                <w:szCs w:val="24"/>
                <w:lang w:val="en-US" w:eastAsia="zh-CN"/>
              </w:rPr>
              <w:t>0</w:t>
            </w:r>
          </w:p>
        </w:tc>
        <w:tc>
          <w:tcPr>
            <w:tcW w:w="66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_GB2312" w:hAnsi="??_GB2312"/>
                <w:sz w:val="24"/>
                <w:szCs w:val="24"/>
                <w:lang w:val="en-US" w:eastAsia="zh-CN"/>
              </w:rPr>
            </w:pPr>
            <w:r>
              <w:rPr>
                <w:rFonts w:hint="eastAsia" w:ascii="??_GB2312" w:hAnsi="??_GB2312"/>
                <w:sz w:val="24"/>
                <w:szCs w:val="24"/>
                <w:lang w:val="en-US" w:eastAsia="zh-CN"/>
              </w:rPr>
              <w:t>0</w:t>
            </w: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_GB2312" w:hAnsi="??_GB2312"/>
                <w:sz w:val="24"/>
                <w:szCs w:val="24"/>
                <w:lang w:val="en-US" w:eastAsia="zh-CN"/>
              </w:rPr>
            </w:pPr>
            <w:r>
              <w:rPr>
                <w:rFonts w:hint="eastAsia" w:ascii="??_GB2312" w:hAnsi="??_GB2312"/>
                <w:sz w:val="24"/>
                <w:szCs w:val="24"/>
                <w:lang w:val="en-US" w:eastAsia="zh-CN"/>
              </w:rPr>
              <w:t>1</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_GB2312" w:hAnsi="??_GB2312"/>
                <w:sz w:val="24"/>
                <w:szCs w:val="24"/>
                <w:lang w:val="en-US" w:eastAsia="zh-CN"/>
              </w:rPr>
            </w:pPr>
            <w:r>
              <w:rPr>
                <w:rFonts w:hint="eastAsia" w:ascii="??_GB2312" w:hAnsi="??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_GB2312" w:hAnsi="??_GB2312"/>
                <w:sz w:val="24"/>
                <w:szCs w:val="24"/>
                <w:lang w:val="en-US" w:eastAsia="zh-CN"/>
              </w:rPr>
            </w:pPr>
            <w:r>
              <w:rPr>
                <w:rFonts w:hint="eastAsia" w:ascii="??_GB2312" w:hAnsi="??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_GB2312" w:hAnsi="??_GB2312"/>
                <w:sz w:val="24"/>
                <w:szCs w:val="24"/>
                <w:lang w:val="en-US" w:eastAsia="zh-CN"/>
              </w:rPr>
            </w:pPr>
            <w:r>
              <w:rPr>
                <w:rFonts w:hint="eastAsia" w:ascii="??_GB2312" w:hAnsi="??_GB2312"/>
                <w:sz w:val="24"/>
                <w:szCs w:val="24"/>
                <w:lang w:val="en-US" w:eastAsia="zh-CN"/>
              </w:rPr>
              <w:t>0</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default" w:ascii="??_GB2312" w:hAnsi="??_GB2312"/>
                <w:sz w:val="24"/>
                <w:szCs w:val="24"/>
                <w:lang w:val="en-US" w:eastAsia="zh-CN"/>
              </w:rPr>
            </w:pPr>
            <w:r>
              <w:rPr>
                <w:rFonts w:hint="eastAsia" w:ascii="??_GB2312" w:hAnsi="??_GB2312"/>
                <w:sz w:val="24"/>
                <w:szCs w:val="24"/>
                <w:lang w:val="en-US" w:eastAsia="zh-CN"/>
              </w:rPr>
              <w:t>1</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_GB2312" w:hAnsi="??_GB2312"/>
                <w:sz w:val="24"/>
                <w:szCs w:val="24"/>
                <w:lang w:val="en-US" w:eastAsia="zh-CN"/>
              </w:rPr>
            </w:pPr>
            <w:r>
              <w:rPr>
                <w:rFonts w:hint="eastAsia" w:ascii="??_GB2312" w:hAnsi="??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_GB2312" w:hAnsi="??_GB2312"/>
                <w:sz w:val="24"/>
                <w:szCs w:val="24"/>
                <w:lang w:val="en-US" w:eastAsia="zh-CN"/>
              </w:rPr>
            </w:pPr>
            <w:r>
              <w:rPr>
                <w:rFonts w:hint="eastAsia" w:ascii="??_GB2312" w:hAnsi="??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_GB2312" w:hAnsi="??_GB2312"/>
                <w:sz w:val="24"/>
                <w:szCs w:val="24"/>
                <w:lang w:val="en-US" w:eastAsia="zh-CN"/>
              </w:rPr>
            </w:pPr>
            <w:r>
              <w:rPr>
                <w:rFonts w:hint="eastAsia" w:ascii="??_GB2312" w:hAnsi="??_GB2312"/>
                <w:sz w:val="24"/>
                <w:szCs w:val="24"/>
                <w:lang w:val="en-US" w:eastAsia="zh-CN"/>
              </w:rPr>
              <w:t>0</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default" w:ascii="??_GB2312" w:hAnsi="??_GB2312"/>
                <w:sz w:val="24"/>
                <w:szCs w:val="24"/>
                <w:lang w:val="en-US" w:eastAsia="zh-CN"/>
              </w:rPr>
            </w:pPr>
            <w:r>
              <w:rPr>
                <w:rFonts w:hint="eastAsia" w:ascii="??_GB2312" w:hAnsi="??_GB2312"/>
                <w:sz w:val="24"/>
                <w:szCs w:val="24"/>
                <w:lang w:val="en-US" w:eastAsia="zh-CN"/>
              </w:rPr>
              <w:t>0</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default" w:ascii="??_GB2312" w:hAnsi="??_GB2312"/>
                <w:sz w:val="24"/>
                <w:szCs w:val="24"/>
                <w:lang w:val="en-US" w:eastAsia="zh-CN"/>
              </w:rPr>
            </w:pPr>
            <w:r>
              <w:rPr>
                <w:rFonts w:hint="eastAsia" w:ascii="??_GB2312" w:hAnsi="??_GB2312"/>
                <w:sz w:val="24"/>
                <w:szCs w:val="24"/>
                <w:lang w:val="en-US" w:eastAsia="zh-CN"/>
              </w:rPr>
              <w:t>0</w:t>
            </w:r>
          </w:p>
        </w:tc>
      </w:tr>
    </w:tbl>
    <w:p>
      <w:pPr>
        <w:spacing w:line="560" w:lineRule="exact"/>
        <w:ind w:firstLine="643" w:firstLineChars="200"/>
        <w:rPr>
          <w:rFonts w:ascii="??_GB2312" w:hAnsi="??_GB2312" w:eastAsia="Times New Roman" w:cs="??_GB2312"/>
          <w:b/>
          <w:bCs/>
          <w:sz w:val="32"/>
          <w:szCs w:val="32"/>
        </w:rPr>
      </w:pPr>
      <w:r>
        <w:rPr>
          <w:rFonts w:hint="eastAsia" w:ascii="宋体" w:hAnsi="宋体" w:cs="宋体"/>
          <w:b/>
          <w:bCs/>
          <w:sz w:val="32"/>
          <w:szCs w:val="32"/>
        </w:rPr>
        <w:t>五、存在的主要问题及改进情况</w:t>
      </w:r>
    </w:p>
    <w:p>
      <w:pPr>
        <w:pStyle w:val="2"/>
        <w:keepNext w:val="0"/>
        <w:keepLines w:val="0"/>
        <w:widowControl/>
        <w:suppressLineNumbers w:val="0"/>
        <w:wordWrap w:val="0"/>
        <w:spacing w:line="540" w:lineRule="atLeast"/>
        <w:ind w:left="0" w:leftChars="0" w:firstLine="640" w:firstLineChars="200"/>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2022年，</w:t>
      </w:r>
      <w:r>
        <w:rPr>
          <w:rFonts w:hint="eastAsia" w:ascii="仿宋_GB2312" w:hAnsi="仿宋_GB2312" w:eastAsia="仿宋_GB2312" w:cs="仿宋_GB2312"/>
          <w:color w:val="auto"/>
          <w:sz w:val="32"/>
          <w:szCs w:val="32"/>
          <w:lang w:eastAsia="zh-CN"/>
        </w:rPr>
        <w:t>我局</w:t>
      </w:r>
      <w:r>
        <w:rPr>
          <w:rFonts w:hint="eastAsia" w:ascii="仿宋_GB2312" w:hAnsi="仿宋_GB2312" w:eastAsia="仿宋_GB2312" w:cs="仿宋_GB2312"/>
          <w:color w:val="auto"/>
          <w:sz w:val="32"/>
          <w:szCs w:val="32"/>
        </w:rPr>
        <w:t>政府信息公开工作取得一定成绩，但还存在以下问题和不足：一是主动公开意识</w:t>
      </w:r>
      <w:r>
        <w:rPr>
          <w:rFonts w:hint="eastAsia" w:ascii="仿宋_GB2312" w:hAnsi="仿宋_GB2312" w:eastAsia="仿宋_GB2312" w:cs="仿宋_GB2312"/>
          <w:color w:val="auto"/>
          <w:sz w:val="32"/>
          <w:szCs w:val="32"/>
          <w:lang w:eastAsia="zh-CN"/>
        </w:rPr>
        <w:t>尚有欠缺。</w:t>
      </w:r>
      <w:r>
        <w:rPr>
          <w:rFonts w:hint="eastAsia" w:ascii="仿宋_GB2312" w:hAnsi="仿宋_GB2312" w:eastAsia="仿宋_GB2312" w:cs="仿宋_GB2312"/>
          <w:color w:val="auto"/>
          <w:sz w:val="32"/>
          <w:szCs w:val="32"/>
        </w:rPr>
        <w:t>二是信息公开流程</w:t>
      </w:r>
      <w:r>
        <w:rPr>
          <w:rFonts w:hint="eastAsia" w:ascii="仿宋_GB2312" w:hAnsi="仿宋_GB2312" w:eastAsia="仿宋_GB2312" w:cs="仿宋_GB2312"/>
          <w:color w:val="auto"/>
          <w:sz w:val="32"/>
          <w:szCs w:val="32"/>
          <w:lang w:eastAsia="zh-CN"/>
        </w:rPr>
        <w:t>仍需优化。</w:t>
      </w:r>
      <w:r>
        <w:rPr>
          <w:rFonts w:hint="eastAsia" w:ascii="仿宋_GB2312" w:hAnsi="仿宋_GB2312" w:eastAsia="仿宋_GB2312" w:cs="仿宋_GB2312"/>
          <w:color w:val="auto"/>
          <w:sz w:val="32"/>
          <w:szCs w:val="32"/>
        </w:rPr>
        <w:t>三是信息公开形式</w:t>
      </w:r>
      <w:r>
        <w:rPr>
          <w:rFonts w:hint="eastAsia" w:ascii="仿宋_GB2312" w:hAnsi="仿宋_GB2312" w:eastAsia="仿宋_GB2312" w:cs="仿宋_GB2312"/>
          <w:color w:val="auto"/>
          <w:sz w:val="32"/>
          <w:szCs w:val="32"/>
          <w:lang w:eastAsia="zh-CN"/>
        </w:rPr>
        <w:t>有待丰富。</w:t>
      </w:r>
    </w:p>
    <w:p>
      <w:pPr>
        <w:pStyle w:val="2"/>
        <w:keepNext w:val="0"/>
        <w:keepLines w:val="0"/>
        <w:widowControl/>
        <w:suppressLineNumbers w:val="0"/>
        <w:wordWrap w:val="0"/>
        <w:spacing w:line="540" w:lineRule="atLeast"/>
        <w:ind w:left="0" w:leftChars="0"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2023年，我局将</w:t>
      </w:r>
      <w:r>
        <w:rPr>
          <w:rFonts w:hint="eastAsia" w:ascii="仿宋_GB2312" w:hAnsi="仿宋_GB2312" w:eastAsia="仿宋_GB2312" w:cs="仿宋_GB2312"/>
          <w:color w:val="auto"/>
          <w:sz w:val="32"/>
          <w:szCs w:val="32"/>
        </w:rPr>
        <w:t>从以下方面针对性地改进提高：</w:t>
      </w:r>
      <w:r>
        <w:rPr>
          <w:rFonts w:hint="eastAsia" w:ascii="仿宋_GB2312" w:hAnsi="仿宋_GB2312" w:eastAsia="仿宋_GB2312" w:cs="仿宋_GB2312"/>
          <w:color w:val="auto"/>
          <w:sz w:val="32"/>
          <w:szCs w:val="32"/>
          <w:lang w:eastAsia="zh-CN"/>
        </w:rPr>
        <w:t>一是</w:t>
      </w:r>
      <w:r>
        <w:rPr>
          <w:rFonts w:hint="eastAsia" w:ascii="仿宋_GB2312" w:hAnsi="仿宋_GB2312" w:eastAsia="仿宋_GB2312" w:cs="仿宋_GB2312"/>
          <w:color w:val="auto"/>
          <w:sz w:val="32"/>
          <w:szCs w:val="32"/>
        </w:rPr>
        <w:t>继续优化政务公开、政策解读、关切回应等工作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对涉及公众利益、需要公众广泛知晓或者需要公众参与决策的政府信息，要做到应公开尽公开。</w:t>
      </w:r>
      <w:r>
        <w:rPr>
          <w:rFonts w:hint="eastAsia" w:ascii="仿宋_GB2312" w:eastAsia="仿宋_GB2312" w:cs="仿宋_GB2312"/>
          <w:i w:val="0"/>
          <w:caps w:val="0"/>
          <w:color w:val="auto"/>
          <w:spacing w:val="0"/>
          <w:sz w:val="31"/>
          <w:szCs w:val="31"/>
          <w:shd w:val="clear" w:fill="FFFFFF"/>
          <w:lang w:eastAsia="zh-CN"/>
        </w:rPr>
        <w:t>二是</w:t>
      </w:r>
      <w:r>
        <w:rPr>
          <w:rFonts w:ascii="仿宋_GB2312" w:hAnsi="宋体" w:eastAsia="仿宋_GB2312" w:cs="仿宋_GB2312"/>
          <w:i w:val="0"/>
          <w:caps w:val="0"/>
          <w:color w:val="auto"/>
          <w:spacing w:val="0"/>
          <w:sz w:val="31"/>
          <w:szCs w:val="31"/>
          <w:shd w:val="clear" w:fill="FFFFFF"/>
        </w:rPr>
        <w:t>减少不必要的流转环节，提高办理效率</w:t>
      </w:r>
      <w:r>
        <w:rPr>
          <w:rFonts w:hint="eastAsia" w:ascii="仿宋_GB2312" w:eastAsia="仿宋_GB2312" w:cs="仿宋_GB2312"/>
          <w:i w:val="0"/>
          <w:caps w:val="0"/>
          <w:color w:val="auto"/>
          <w:spacing w:val="0"/>
          <w:sz w:val="31"/>
          <w:szCs w:val="31"/>
          <w:shd w:val="clear" w:fill="FFFFFF"/>
          <w:lang w:eastAsia="zh-CN"/>
        </w:rPr>
        <w:t>，</w:t>
      </w:r>
      <w:r>
        <w:rPr>
          <w:rFonts w:ascii="仿宋_GB2312" w:hAnsi="宋体" w:eastAsia="仿宋_GB2312" w:cs="仿宋_GB2312"/>
          <w:i w:val="0"/>
          <w:caps w:val="0"/>
          <w:color w:val="auto"/>
          <w:spacing w:val="0"/>
          <w:sz w:val="31"/>
          <w:szCs w:val="31"/>
          <w:shd w:val="clear" w:fill="FFFFFF"/>
        </w:rPr>
        <w:t>全面强化网站、新媒体在信息公开和便民服务中的各项功能。</w:t>
      </w:r>
      <w:r>
        <w:rPr>
          <w:rFonts w:hint="eastAsia" w:ascii="仿宋_GB2312" w:hAnsi="仿宋_GB2312" w:eastAsia="仿宋_GB2312" w:cs="仿宋_GB2312"/>
          <w:color w:val="auto"/>
          <w:sz w:val="32"/>
          <w:szCs w:val="32"/>
          <w:lang w:eastAsia="zh-CN"/>
        </w:rPr>
        <w:t>三是</w:t>
      </w:r>
      <w:r>
        <w:rPr>
          <w:rFonts w:hint="eastAsia" w:ascii="仿宋_GB2312" w:hAnsi="仿宋_GB2312" w:eastAsia="仿宋_GB2312" w:cs="仿宋_GB2312"/>
          <w:color w:val="auto"/>
          <w:sz w:val="32"/>
          <w:szCs w:val="32"/>
        </w:rPr>
        <w:t>坚持创新融合政务公开、政务服务、政民互动平台，更好统筹政务公开与政务服务，持续创新提升政府网上履职能力。</w:t>
      </w:r>
    </w:p>
    <w:p>
      <w:pPr>
        <w:spacing w:line="560" w:lineRule="exact"/>
        <w:ind w:firstLine="643" w:firstLineChars="200"/>
        <w:rPr>
          <w:rFonts w:ascii="??_GB2312" w:hAnsi="??_GB2312" w:eastAsia="Times New Roman" w:cs="??_GB2312"/>
          <w:b/>
          <w:bCs/>
          <w:sz w:val="32"/>
          <w:szCs w:val="32"/>
        </w:rPr>
      </w:pPr>
      <w:r>
        <w:rPr>
          <w:rFonts w:hint="eastAsia" w:ascii="宋体" w:hAnsi="宋体" w:cs="宋体"/>
          <w:b/>
          <w:bCs/>
          <w:sz w:val="32"/>
          <w:szCs w:val="32"/>
        </w:rPr>
        <w:t>六、其他需要报告的事项</w:t>
      </w:r>
    </w:p>
    <w:p>
      <w:pPr>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2022年1月1日至12月31日，本单位共收取信息处理费0元。</w:t>
      </w:r>
    </w:p>
    <w:p>
      <w:pPr>
        <w:spacing w:line="560" w:lineRule="exact"/>
        <w:ind w:firstLine="640" w:firstLineChars="200"/>
        <w:rPr>
          <w:rFonts w:ascii="??_GB2312" w:hAnsi="??_GB2312" w:eastAsia="Times New Roman" w:cs="??_GB2312"/>
          <w:sz w:val="32"/>
          <w:szCs w:val="32"/>
        </w:rPr>
      </w:pPr>
    </w:p>
    <w:p>
      <w:pPr>
        <w:spacing w:line="560" w:lineRule="exact"/>
        <w:ind w:firstLine="640" w:firstLineChars="200"/>
        <w:rPr>
          <w:rFonts w:ascii="??_GB2312" w:hAnsi="??_GB2312" w:eastAsia="Times New Roman" w:cs="??_GB2312"/>
          <w:sz w:val="32"/>
          <w:szCs w:val="32"/>
        </w:rPr>
      </w:pPr>
    </w:p>
    <w:p>
      <w:pPr>
        <w:spacing w:line="560" w:lineRule="exact"/>
        <w:ind w:firstLine="640" w:firstLineChars="200"/>
        <w:rPr>
          <w:rFonts w:ascii="??_GB2312" w:hAnsi="??_GB2312" w:eastAsia="Times New Roman" w:cs="??_GB2312"/>
          <w:sz w:val="32"/>
          <w:szCs w:val="32"/>
        </w:rPr>
      </w:pPr>
    </w:p>
    <w:p>
      <w:pPr>
        <w:spacing w:line="560" w:lineRule="exact"/>
        <w:ind w:firstLine="640" w:firstLineChars="200"/>
        <w:jc w:val="center"/>
        <w:rPr>
          <w:rFonts w:hint="eastAsia" w:ascii="仿宋_GB2312" w:hAnsi="宋体" w:eastAsia="仿宋_GB2312" w:cs="仿宋_GB2312"/>
          <w:i w:val="0"/>
          <w:caps w:val="0"/>
          <w:color w:val="auto"/>
          <w:spacing w:val="0"/>
          <w:kern w:val="0"/>
          <w:sz w:val="31"/>
          <w:szCs w:val="31"/>
          <w:shd w:val="clear" w:fill="FFFFFF"/>
          <w:lang w:val="en-US" w:eastAsia="zh-CN" w:bidi="ar"/>
        </w:rPr>
      </w:pPr>
      <w:r>
        <w:rPr>
          <w:rFonts w:ascii="??_GB2312" w:hAnsi="??_GB2312" w:eastAsia="Times New Roman" w:cs="??_GB2312"/>
          <w:sz w:val="32"/>
          <w:szCs w:val="32"/>
        </w:rPr>
        <w:t xml:space="preserve">          </w:t>
      </w:r>
      <w:r>
        <w:rPr>
          <w:rFonts w:hint="eastAsia" w:ascii="??_GB2312" w:hAnsi="??_GB2312" w:cs="??_GB2312"/>
          <w:sz w:val="32"/>
          <w:szCs w:val="32"/>
          <w:lang w:val="en-US" w:eastAsia="zh-CN"/>
        </w:rPr>
        <w:t xml:space="preserve">           </w:t>
      </w:r>
      <w:r>
        <w:rPr>
          <w:rFonts w:hint="eastAsia" w:ascii="仿宋_GB2312" w:hAnsi="宋体" w:eastAsia="仿宋_GB2312" w:cs="仿宋_GB2312"/>
          <w:i w:val="0"/>
          <w:caps w:val="0"/>
          <w:color w:val="auto"/>
          <w:spacing w:val="0"/>
          <w:kern w:val="0"/>
          <w:sz w:val="31"/>
          <w:szCs w:val="31"/>
          <w:shd w:val="clear" w:fill="FFFFFF"/>
          <w:lang w:val="en-US" w:eastAsia="zh-CN" w:bidi="ar"/>
        </w:rPr>
        <w:t xml:space="preserve"> 慈溪市民政局           </w:t>
      </w:r>
    </w:p>
    <w:p>
      <w:pPr>
        <w:spacing w:line="560" w:lineRule="exact"/>
        <w:ind w:firstLine="620" w:firstLineChars="200"/>
        <w:jc w:val="center"/>
        <w:rPr>
          <w:rFonts w:hint="default" w:ascii="仿宋_GB2312" w:hAnsi="宋体" w:eastAsia="仿宋_GB2312" w:cs="仿宋_GB2312"/>
          <w:i w:val="0"/>
          <w:caps w:val="0"/>
          <w:color w:val="auto"/>
          <w:spacing w:val="0"/>
          <w:kern w:val="0"/>
          <w:sz w:val="31"/>
          <w:szCs w:val="31"/>
          <w:shd w:val="clear" w:fill="FFFFFF"/>
          <w:lang w:val="en-US" w:eastAsia="zh-CN" w:bidi="ar"/>
        </w:rPr>
      </w:pPr>
      <w:r>
        <w:rPr>
          <w:rFonts w:hint="eastAsia" w:ascii="仿宋_GB2312" w:hAnsi="宋体" w:eastAsia="仿宋_GB2312" w:cs="仿宋_GB2312"/>
          <w:i w:val="0"/>
          <w:caps w:val="0"/>
          <w:color w:val="auto"/>
          <w:spacing w:val="0"/>
          <w:kern w:val="0"/>
          <w:sz w:val="31"/>
          <w:szCs w:val="31"/>
          <w:shd w:val="clear" w:fill="FFFFFF"/>
          <w:lang w:val="en-US" w:eastAsia="zh-CN" w:bidi="ar"/>
        </w:rPr>
        <w:t xml:space="preserve">                      2023年1月17日</w:t>
      </w:r>
    </w:p>
    <w:p>
      <w:pPr>
        <w:spacing w:line="560" w:lineRule="exact"/>
        <w:ind w:firstLine="640" w:firstLineChars="200"/>
        <w:rPr>
          <w:rFonts w:ascii="??_GB2312" w:hAnsi="??_GB2312" w:eastAsia="Times New Roman" w:cs="??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EF065D"/>
    <w:multiLevelType w:val="singleLevel"/>
    <w:tmpl w:val="1BEF065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A96EEC"/>
    <w:rsid w:val="00220052"/>
    <w:rsid w:val="0A350B15"/>
    <w:rsid w:val="10C51F74"/>
    <w:rsid w:val="1F5700C9"/>
    <w:rsid w:val="34A96EEC"/>
    <w:rsid w:val="38665180"/>
    <w:rsid w:val="4AF92649"/>
    <w:rsid w:val="50297C14"/>
    <w:rsid w:val="77D70A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Pr>
      <w:rFonts w:hint="eastAsia" w:ascii="宋体" w:hAnsi="宋体" w:eastAsia="宋体" w:cs="宋体"/>
      <w:kern w:val="0"/>
      <w:sz w:val="24"/>
      <w:szCs w:val="24"/>
      <w:lang w:val="en-US" w:eastAsia="zh-CN" w:bidi="ar"/>
    </w:rPr>
  </w:style>
  <w:style w:type="character" w:styleId="5">
    <w:name w:val="FollowedHyperlink"/>
    <w:basedOn w:val="4"/>
    <w:qFormat/>
    <w:uiPriority w:val="0"/>
    <w:rPr>
      <w:color w:val="333333"/>
      <w:u w:val="none"/>
    </w:rPr>
  </w:style>
  <w:style w:type="character" w:styleId="6">
    <w:name w:val="HTML Definition"/>
    <w:basedOn w:val="4"/>
    <w:qFormat/>
    <w:uiPriority w:val="0"/>
    <w:rPr>
      <w:color w:val="CB0306"/>
      <w:u w:val="none"/>
    </w:rPr>
  </w:style>
  <w:style w:type="character" w:styleId="7">
    <w:name w:val="HTML Acronym"/>
    <w:basedOn w:val="4"/>
    <w:qFormat/>
    <w:uiPriority w:val="0"/>
  </w:style>
  <w:style w:type="character" w:styleId="8">
    <w:name w:val="HTML Variable"/>
    <w:basedOn w:val="4"/>
    <w:qFormat/>
    <w:uiPriority w:val="0"/>
  </w:style>
  <w:style w:type="character" w:styleId="9">
    <w:name w:val="Hyperlink"/>
    <w:basedOn w:val="4"/>
    <w:qFormat/>
    <w:uiPriority w:val="0"/>
    <w:rPr>
      <w:color w:val="333333"/>
      <w:u w:val="none"/>
    </w:rPr>
  </w:style>
  <w:style w:type="character" w:styleId="10">
    <w:name w:val="HTML Code"/>
    <w:basedOn w:val="4"/>
    <w:qFormat/>
    <w:uiPriority w:val="0"/>
    <w:rPr>
      <w:rFonts w:ascii="Courier New" w:hAnsi="Courier New"/>
      <w:sz w:val="20"/>
    </w:rPr>
  </w:style>
  <w:style w:type="character" w:styleId="11">
    <w:name w:val="HTML Cite"/>
    <w:basedOn w:val="4"/>
    <w:qFormat/>
    <w:uiPriority w:val="0"/>
  </w:style>
  <w:style w:type="character" w:customStyle="1" w:styleId="12">
    <w:name w:val="tit"/>
    <w:basedOn w:val="4"/>
    <w:qFormat/>
    <w:uiPriority w:val="0"/>
    <w:rPr>
      <w:b/>
      <w:color w:val="333333"/>
      <w:sz w:val="30"/>
      <w:szCs w:val="30"/>
    </w:rPr>
  </w:style>
  <w:style w:type="character" w:customStyle="1" w:styleId="13">
    <w:name w:val="tit1"/>
    <w:basedOn w:val="4"/>
    <w:qFormat/>
    <w:uiPriority w:val="0"/>
  </w:style>
  <w:style w:type="character" w:customStyle="1" w:styleId="14">
    <w:name w:val="sel"/>
    <w:basedOn w:val="4"/>
    <w:qFormat/>
    <w:uiPriority w:val="0"/>
  </w:style>
  <w:style w:type="character" w:customStyle="1" w:styleId="15">
    <w:name w:val="wj"/>
    <w:basedOn w:val="4"/>
    <w:qFormat/>
    <w:uiPriority w:val="0"/>
    <w:rPr>
      <w:color w:val="666666"/>
      <w:sz w:val="19"/>
      <w:szCs w:val="19"/>
      <w:bdr w:val="single" w:color="D2D2D2" w:sz="6" w:space="0"/>
    </w:rPr>
  </w:style>
  <w:style w:type="character" w:customStyle="1" w:styleId="16">
    <w:name w:val="re"/>
    <w:basedOn w:val="4"/>
    <w:qFormat/>
    <w:uiPriority w:val="0"/>
    <w:rPr>
      <w:color w:val="666666"/>
      <w:sz w:val="19"/>
      <w:szCs w:val="19"/>
    </w:rPr>
  </w:style>
  <w:style w:type="character" w:customStyle="1" w:styleId="17">
    <w:name w:val="tip"/>
    <w:basedOn w:val="4"/>
    <w:qFormat/>
    <w:uiPriority w:val="0"/>
    <w:rPr>
      <w:color w:val="FF2C2C"/>
      <w:sz w:val="19"/>
      <w:szCs w:val="19"/>
    </w:rPr>
  </w:style>
  <w:style w:type="character" w:customStyle="1" w:styleId="18">
    <w:name w:val="tit10"/>
    <w:basedOn w:val="4"/>
    <w:qFormat/>
    <w:uiPriority w:val="0"/>
  </w:style>
  <w:style w:type="character" w:customStyle="1" w:styleId="19">
    <w:name w:val="tit11"/>
    <w:basedOn w:val="4"/>
    <w:qFormat/>
    <w:uiPriority w:val="0"/>
    <w:rPr>
      <w:b/>
      <w:color w:val="333333"/>
      <w:sz w:val="30"/>
      <w:szCs w:val="3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2023-01-18T01:42:00Z</dcterms:created>
  <dc:creator>沈慈慈</dc:creator>
  <cp:lastModifiedBy>沈慈慈</cp:lastModifiedBy>
  <dcterms:modified xsi:type="dcterms:W3CDTF">2023-10-25T03:39:25Z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