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before="289" w:beforeLines="50" w:after="575" w:afterLines="100" w:line="560" w:lineRule="exact"/>
        <w:ind w:firstLine="0" w:firstLineChars="0"/>
        <w:jc w:val="center"/>
        <w:textAlignment w:val="auto"/>
        <w:outlineLvl w:val="0"/>
      </w:pPr>
      <w:r>
        <w:rPr>
          <w:rFonts w:hint="eastAsia" w:ascii="方正小标宋简体" w:hAnsi="黑体" w:eastAsia="方正小标宋简体" w:cs="宋体"/>
          <w:sz w:val="36"/>
          <w:szCs w:val="36"/>
        </w:rPr>
        <w:t>202</w:t>
      </w:r>
      <w:r>
        <w:rPr>
          <w:rFonts w:hint="default" w:ascii="方正小标宋简体" w:hAnsi="黑体" w:eastAsia="方正小标宋简体" w:cs="宋体"/>
          <w:sz w:val="36"/>
          <w:szCs w:val="36"/>
        </w:rPr>
        <w:t>3</w:t>
      </w:r>
      <w:r>
        <w:rPr>
          <w:rFonts w:hint="eastAsia" w:ascii="方正小标宋简体" w:hAnsi="黑体" w:eastAsia="方正小标宋简体" w:cs="宋体"/>
          <w:sz w:val="36"/>
          <w:szCs w:val="36"/>
        </w:rPr>
        <w:t>年慈溪市推进数字经济核心产业发</w:t>
      </w:r>
      <w:bookmarkStart w:id="0" w:name="_GoBack"/>
      <w:bookmarkEnd w:id="0"/>
      <w:r>
        <w:rPr>
          <w:rFonts w:hint="eastAsia" w:ascii="方正小标宋简体" w:hAnsi="黑体" w:eastAsia="方正小标宋简体" w:cs="宋体"/>
          <w:sz w:val="36"/>
          <w:szCs w:val="36"/>
        </w:rPr>
        <w:t>展奖励补助实施细则</w:t>
      </w:r>
    </w:p>
    <w:p>
      <w:pPr>
        <w:keepNext w:val="0"/>
        <w:keepLines w:val="0"/>
        <w:pageBreakBefore w:val="0"/>
        <w:kinsoku/>
        <w:wordWrap/>
        <w:overflowPunct/>
        <w:topLinePunct w:val="0"/>
        <w:autoSpaceDE/>
        <w:autoSpaceDN/>
        <w:bidi w:val="0"/>
        <w:adjustRightInd/>
        <w:spacing w:line="560" w:lineRule="exact"/>
        <w:ind w:firstLine="640"/>
        <w:textAlignment w:val="auto"/>
        <w:outlineLvl w:val="0"/>
        <w:rPr>
          <w:rFonts w:hint="eastAsia" w:ascii="黑体" w:hAnsi="黑体" w:eastAsia="黑体" w:cs="黑体"/>
          <w:szCs w:val="22"/>
        </w:rPr>
      </w:pPr>
      <w:r>
        <w:rPr>
          <w:rFonts w:hint="eastAsia" w:ascii="黑体" w:hAnsi="黑体" w:eastAsia="黑体" w:cs="黑体"/>
          <w:szCs w:val="22"/>
        </w:rPr>
        <w:t>一、数字经济十强企业</w:t>
      </w:r>
    </w:p>
    <w:p>
      <w:pPr>
        <w:keepNext w:val="0"/>
        <w:keepLines w:val="0"/>
        <w:pageBreakBefore w:val="0"/>
        <w:kinsoku/>
        <w:wordWrap/>
        <w:overflowPunct/>
        <w:topLinePunct w:val="0"/>
        <w:autoSpaceDE/>
        <w:autoSpaceDN/>
        <w:bidi w:val="0"/>
        <w:adjustRightInd/>
        <w:spacing w:line="560" w:lineRule="exact"/>
        <w:ind w:firstLine="640"/>
        <w:textAlignment w:val="auto"/>
        <w:outlineLvl w:val="0"/>
        <w:rPr>
          <w:rFonts w:hint="eastAsia" w:ascii="楷体_GB2312" w:hAnsi="楷体_GB2312" w:eastAsia="楷体_GB2312" w:cs="楷体_GB2312"/>
          <w:b/>
          <w:bCs/>
          <w:szCs w:val="22"/>
        </w:rPr>
      </w:pPr>
      <w:r>
        <w:rPr>
          <w:rFonts w:hint="eastAsia" w:ascii="楷体_GB2312" w:hAnsi="楷体_GB2312" w:eastAsia="楷体_GB2312" w:cs="楷体_GB2312"/>
          <w:b/>
          <w:bCs/>
          <w:szCs w:val="22"/>
        </w:rPr>
        <w:t>（一）申报对象</w:t>
      </w:r>
    </w:p>
    <w:p>
      <w:pPr>
        <w:keepNext w:val="0"/>
        <w:keepLines w:val="0"/>
        <w:pageBreakBefore w:val="0"/>
        <w:kinsoku/>
        <w:wordWrap/>
        <w:overflowPunct/>
        <w:topLinePunct w:val="0"/>
        <w:autoSpaceDE/>
        <w:autoSpaceDN/>
        <w:bidi w:val="0"/>
        <w:adjustRightInd/>
        <w:spacing w:line="560" w:lineRule="exact"/>
        <w:ind w:firstLine="640"/>
        <w:textAlignment w:val="auto"/>
        <w:outlineLvl w:val="0"/>
        <w:rPr>
          <w:rFonts w:hint="eastAsia" w:ascii="仿宋_GB2312" w:hAnsi="仿宋_GB2312" w:eastAsia="仿宋_GB2312" w:cs="仿宋_GB2312"/>
          <w:szCs w:val="22"/>
        </w:rPr>
      </w:pPr>
      <w:r>
        <w:rPr>
          <w:rFonts w:hint="eastAsia" w:ascii="仿宋_GB2312" w:hAnsi="仿宋_GB2312" w:eastAsia="仿宋_GB2312" w:cs="仿宋_GB2312"/>
          <w:szCs w:val="22"/>
        </w:rPr>
        <w:t>慈溪市本级行政区域内依法生产经营并纳税的上年度亩均论英雄综合评价结果在B类及以上规上数字经济制造业企业。</w:t>
      </w:r>
    </w:p>
    <w:p>
      <w:pPr>
        <w:keepNext w:val="0"/>
        <w:keepLines w:val="0"/>
        <w:pageBreakBefore w:val="0"/>
        <w:kinsoku/>
        <w:wordWrap/>
        <w:overflowPunct/>
        <w:topLinePunct w:val="0"/>
        <w:autoSpaceDE/>
        <w:autoSpaceDN/>
        <w:bidi w:val="0"/>
        <w:adjustRightInd/>
        <w:spacing w:line="560" w:lineRule="exact"/>
        <w:ind w:firstLine="640"/>
        <w:textAlignment w:val="auto"/>
        <w:outlineLvl w:val="0"/>
        <w:rPr>
          <w:rFonts w:hint="eastAsia" w:ascii="楷体_GB2312" w:hAnsi="楷体_GB2312" w:eastAsia="楷体_GB2312" w:cs="楷体_GB2312"/>
          <w:b/>
          <w:bCs/>
          <w:szCs w:val="22"/>
        </w:rPr>
      </w:pPr>
      <w:r>
        <w:rPr>
          <w:rFonts w:hint="eastAsia" w:ascii="楷体_GB2312" w:hAnsi="楷体_GB2312" w:eastAsia="楷体_GB2312" w:cs="楷体_GB2312"/>
          <w:b/>
          <w:bCs/>
          <w:szCs w:val="22"/>
        </w:rPr>
        <w:t>（二）奖励项目及</w:t>
      </w:r>
      <w:r>
        <w:rPr>
          <w:rFonts w:hint="eastAsia" w:ascii="楷体_GB2312" w:hAnsi="楷体_GB2312" w:eastAsia="楷体_GB2312" w:cs="楷体_GB2312"/>
          <w:b/>
          <w:bCs/>
          <w:szCs w:val="22"/>
          <w:lang w:val="en-US" w:eastAsia="zh-CN"/>
        </w:rPr>
        <w:t>确定</w:t>
      </w:r>
      <w:r>
        <w:rPr>
          <w:rFonts w:hint="eastAsia" w:ascii="楷体_GB2312" w:hAnsi="楷体_GB2312" w:eastAsia="楷体_GB2312" w:cs="楷体_GB2312"/>
          <w:b/>
          <w:bCs/>
          <w:szCs w:val="22"/>
        </w:rPr>
        <w:t>办法</w:t>
      </w:r>
    </w:p>
    <w:p>
      <w:pPr>
        <w:keepNext w:val="0"/>
        <w:keepLines w:val="0"/>
        <w:pageBreakBefore w:val="0"/>
        <w:kinsoku/>
        <w:wordWrap/>
        <w:overflowPunct/>
        <w:topLinePunct w:val="0"/>
        <w:autoSpaceDE/>
        <w:autoSpaceDN/>
        <w:bidi w:val="0"/>
        <w:adjustRightInd/>
        <w:spacing w:line="560" w:lineRule="exact"/>
        <w:ind w:firstLine="640"/>
        <w:textAlignment w:val="auto"/>
        <w:outlineLvl w:val="0"/>
        <w:rPr>
          <w:rFonts w:hint="eastAsia" w:ascii="仿宋_GB2312" w:hAnsi="仿宋_GB2312" w:eastAsia="仿宋_GB2312" w:cs="仿宋_GB2312"/>
          <w:szCs w:val="22"/>
        </w:rPr>
      </w:pPr>
      <w:r>
        <w:rPr>
          <w:rFonts w:hint="eastAsia" w:ascii="仿宋_GB2312" w:hAnsi="仿宋_GB2312" w:eastAsia="仿宋_GB2312" w:cs="仿宋_GB2312"/>
          <w:szCs w:val="22"/>
        </w:rPr>
        <w:t>以2022年度总产值1亿元以上（不含累计调整部分）且增加值（收入法计算）1000万元以上的企业作为入选必备条件，按2023年度工业总产值45%、工业增加值45%、工业总产值增幅5%、工业增加值增幅5%为权数，计算综合得分（2023年度利润总额为负的企业，综合得分减5分），根据得分高低，</w:t>
      </w:r>
      <w:r>
        <w:rPr>
          <w:rFonts w:hint="eastAsia" w:ascii="仿宋_GB2312" w:hAnsi="仿宋_GB2312" w:cs="仿宋_GB2312"/>
          <w:szCs w:val="22"/>
          <w:lang w:val="en-US" w:eastAsia="zh-CN"/>
        </w:rPr>
        <w:t>确定</w:t>
      </w:r>
      <w:r>
        <w:rPr>
          <w:rFonts w:hint="eastAsia" w:ascii="仿宋_GB2312" w:hAnsi="仿宋_GB2312" w:eastAsia="仿宋_GB2312" w:cs="仿宋_GB2312"/>
          <w:szCs w:val="22"/>
        </w:rPr>
        <w:t>数字经济十强企业，由市政府发文公布。</w:t>
      </w:r>
    </w:p>
    <w:p>
      <w:pPr>
        <w:keepNext w:val="0"/>
        <w:keepLines w:val="0"/>
        <w:pageBreakBefore w:val="0"/>
        <w:kinsoku/>
        <w:wordWrap/>
        <w:overflowPunct/>
        <w:topLinePunct w:val="0"/>
        <w:autoSpaceDE/>
        <w:autoSpaceDN/>
        <w:bidi w:val="0"/>
        <w:adjustRightInd/>
        <w:spacing w:line="560" w:lineRule="exact"/>
        <w:ind w:firstLine="640"/>
        <w:textAlignment w:val="auto"/>
        <w:outlineLvl w:val="0"/>
        <w:rPr>
          <w:rFonts w:hint="eastAsia" w:ascii="楷体_GB2312" w:hAnsi="楷体_GB2312" w:eastAsia="楷体_GB2312" w:cs="楷体_GB2312"/>
          <w:b/>
          <w:bCs/>
          <w:szCs w:val="22"/>
        </w:rPr>
      </w:pPr>
      <w:r>
        <w:rPr>
          <w:rFonts w:hint="eastAsia" w:ascii="楷体_GB2312" w:hAnsi="楷体_GB2312" w:eastAsia="楷体_GB2312" w:cs="楷体_GB2312"/>
          <w:b/>
          <w:bCs/>
          <w:szCs w:val="22"/>
        </w:rPr>
        <w:t>（三）申报资料</w:t>
      </w:r>
    </w:p>
    <w:p>
      <w:pPr>
        <w:keepNext w:val="0"/>
        <w:keepLines w:val="0"/>
        <w:pageBreakBefore w:val="0"/>
        <w:kinsoku/>
        <w:wordWrap/>
        <w:overflowPunct/>
        <w:topLinePunct w:val="0"/>
        <w:autoSpaceDE/>
        <w:autoSpaceDN/>
        <w:bidi w:val="0"/>
        <w:adjustRightInd/>
        <w:spacing w:line="560" w:lineRule="exact"/>
        <w:ind w:firstLine="640"/>
        <w:textAlignment w:val="auto"/>
        <w:outlineLvl w:val="0"/>
        <w:rPr>
          <w:rFonts w:hint="eastAsia" w:ascii="仿宋_GB2312" w:hAnsi="仿宋_GB2312" w:eastAsia="仿宋_GB2312" w:cs="仿宋_GB2312"/>
          <w:szCs w:val="22"/>
        </w:rPr>
      </w:pPr>
      <w:r>
        <w:rPr>
          <w:rFonts w:hint="eastAsia" w:ascii="仿宋_GB2312" w:hAnsi="仿宋_GB2312" w:eastAsia="仿宋_GB2312" w:cs="仿宋_GB2312"/>
          <w:szCs w:val="22"/>
        </w:rPr>
        <w:t>慈溪市数字经济先进典型申报表（附表1）。</w:t>
      </w:r>
    </w:p>
    <w:p>
      <w:pPr>
        <w:keepNext w:val="0"/>
        <w:keepLines w:val="0"/>
        <w:pageBreakBefore w:val="0"/>
        <w:kinsoku/>
        <w:wordWrap/>
        <w:overflowPunct/>
        <w:topLinePunct w:val="0"/>
        <w:autoSpaceDE/>
        <w:autoSpaceDN/>
        <w:bidi w:val="0"/>
        <w:adjustRightInd/>
        <w:spacing w:line="560" w:lineRule="exact"/>
        <w:ind w:firstLine="640"/>
        <w:textAlignment w:val="auto"/>
        <w:outlineLvl w:val="0"/>
        <w:rPr>
          <w:rFonts w:ascii="Arial" w:hAnsi="Arial" w:eastAsia="黑体"/>
          <w:szCs w:val="22"/>
        </w:rPr>
      </w:pPr>
      <w:r>
        <w:rPr>
          <w:rFonts w:hint="eastAsia" w:ascii="Arial" w:hAnsi="Arial" w:eastAsia="黑体"/>
          <w:szCs w:val="22"/>
          <w:lang w:val="en-US" w:eastAsia="zh-CN"/>
        </w:rPr>
        <w:t>二</w:t>
      </w:r>
      <w:r>
        <w:rPr>
          <w:rFonts w:hint="eastAsia" w:ascii="Arial" w:hAnsi="Arial" w:eastAsia="黑体"/>
          <w:szCs w:val="22"/>
        </w:rPr>
        <w:t>、数字经济核心产业企业增量奖励</w:t>
      </w:r>
    </w:p>
    <w:p>
      <w:pPr>
        <w:keepNext w:val="0"/>
        <w:keepLines w:val="0"/>
        <w:pageBreakBefore w:val="0"/>
        <w:kinsoku/>
        <w:wordWrap/>
        <w:overflowPunct/>
        <w:topLinePunct w:val="0"/>
        <w:autoSpaceDE/>
        <w:autoSpaceDN/>
        <w:bidi w:val="0"/>
        <w:adjustRightInd/>
        <w:spacing w:line="560" w:lineRule="exact"/>
        <w:ind w:firstLine="643"/>
        <w:textAlignment w:val="auto"/>
        <w:outlineLvl w:val="1"/>
        <w:rPr>
          <w:rStyle w:val="10"/>
          <w:szCs w:val="22"/>
        </w:rPr>
      </w:pPr>
      <w:r>
        <w:rPr>
          <w:rStyle w:val="10"/>
          <w:rFonts w:hint="eastAsia"/>
          <w:szCs w:val="22"/>
        </w:rPr>
        <w:t>（一）申报对象</w:t>
      </w:r>
    </w:p>
    <w:p>
      <w:pPr>
        <w:pStyle w:val="5"/>
        <w:keepNext w:val="0"/>
        <w:keepLines w:val="0"/>
        <w:pageBreakBefore w:val="0"/>
        <w:kinsoku/>
        <w:wordWrap/>
        <w:overflowPunct/>
        <w:topLinePunct w:val="0"/>
        <w:autoSpaceDE/>
        <w:autoSpaceDN/>
        <w:bidi w:val="0"/>
        <w:adjustRightInd/>
        <w:spacing w:line="560" w:lineRule="exact"/>
        <w:ind w:firstLine="640"/>
        <w:textAlignment w:val="auto"/>
        <w:rPr>
          <w:szCs w:val="22"/>
        </w:rPr>
      </w:pPr>
      <w:r>
        <w:rPr>
          <w:rFonts w:hint="eastAsia"/>
        </w:rPr>
        <w:t>慈溪市本级行政区域内依法生产经营并纳税的</w:t>
      </w:r>
      <w:r>
        <w:rPr>
          <w:rFonts w:hint="eastAsia"/>
          <w:szCs w:val="22"/>
        </w:rPr>
        <w:t>规上数字经济制造业企业。</w:t>
      </w:r>
    </w:p>
    <w:p>
      <w:pPr>
        <w:keepNext w:val="0"/>
        <w:keepLines w:val="0"/>
        <w:pageBreakBefore w:val="0"/>
        <w:kinsoku/>
        <w:wordWrap/>
        <w:overflowPunct/>
        <w:topLinePunct w:val="0"/>
        <w:autoSpaceDE/>
        <w:autoSpaceDN/>
        <w:bidi w:val="0"/>
        <w:adjustRightInd/>
        <w:spacing w:line="560" w:lineRule="exact"/>
        <w:ind w:firstLine="643"/>
        <w:textAlignment w:val="auto"/>
        <w:outlineLvl w:val="1"/>
        <w:rPr>
          <w:rStyle w:val="10"/>
          <w:szCs w:val="22"/>
        </w:rPr>
      </w:pPr>
      <w:r>
        <w:rPr>
          <w:rStyle w:val="10"/>
          <w:rFonts w:hint="eastAsia"/>
          <w:szCs w:val="22"/>
        </w:rPr>
        <w:t>（二）奖励标准</w:t>
      </w:r>
    </w:p>
    <w:p>
      <w:pPr>
        <w:pStyle w:val="2"/>
        <w:keepNext w:val="0"/>
        <w:keepLines w:val="0"/>
        <w:pageBreakBefore w:val="0"/>
        <w:kinsoku/>
        <w:wordWrap/>
        <w:overflowPunct/>
        <w:topLinePunct w:val="0"/>
        <w:autoSpaceDE/>
        <w:autoSpaceDN/>
        <w:bidi w:val="0"/>
        <w:adjustRightInd/>
        <w:spacing w:line="560" w:lineRule="exact"/>
        <w:ind w:firstLine="640"/>
        <w:textAlignment w:val="auto"/>
        <w:rPr>
          <w:rFonts w:hint="eastAsia" w:ascii="Arial" w:hAnsi="Arial" w:eastAsia="黑体"/>
          <w:szCs w:val="22"/>
        </w:rPr>
      </w:pPr>
      <w:r>
        <w:rPr>
          <w:rFonts w:hint="eastAsia"/>
          <w:kern w:val="0"/>
        </w:rPr>
        <w:t>数字经济核心产业库</w:t>
      </w:r>
      <w:r>
        <w:rPr>
          <w:rFonts w:hint="default"/>
          <w:kern w:val="0"/>
        </w:rPr>
        <w:t>内企业</w:t>
      </w:r>
      <w:r>
        <w:rPr>
          <w:rFonts w:hint="eastAsia"/>
          <w:kern w:val="0"/>
        </w:rPr>
        <w:t>当年产值增速</w:t>
      </w:r>
      <w:r>
        <w:rPr>
          <w:rFonts w:hint="default"/>
          <w:kern w:val="0"/>
        </w:rPr>
        <w:t>达到</w:t>
      </w:r>
      <w:r>
        <w:rPr>
          <w:rFonts w:hint="eastAsia"/>
          <w:kern w:val="0"/>
        </w:rPr>
        <w:t>10%的</w:t>
      </w:r>
      <w:r>
        <w:rPr>
          <w:rFonts w:hint="default"/>
          <w:kern w:val="0"/>
        </w:rPr>
        <w:t>（不包括23年年度小升规及月度进规企业）</w:t>
      </w:r>
      <w:r>
        <w:rPr>
          <w:rFonts w:hint="eastAsia"/>
          <w:kern w:val="0"/>
        </w:rPr>
        <w:t>，给予</w:t>
      </w:r>
      <w:r>
        <w:rPr>
          <w:rFonts w:hint="default"/>
          <w:kern w:val="0"/>
        </w:rPr>
        <w:t>2万元</w:t>
      </w:r>
      <w:r>
        <w:rPr>
          <w:rFonts w:hint="eastAsia"/>
          <w:kern w:val="0"/>
        </w:rPr>
        <w:t>奖励</w:t>
      </w:r>
      <w:r>
        <w:rPr>
          <w:rFonts w:hint="default"/>
          <w:kern w:val="0"/>
        </w:rPr>
        <w:t>，</w:t>
      </w:r>
      <w:r>
        <w:rPr>
          <w:rFonts w:hint="eastAsia"/>
          <w:kern w:val="0"/>
        </w:rPr>
        <w:t>对增速10%以上部分，每增加100万元产值，给予0.</w:t>
      </w:r>
      <w:r>
        <w:rPr>
          <w:kern w:val="0"/>
        </w:rPr>
        <w:t>1</w:t>
      </w:r>
      <w:r>
        <w:rPr>
          <w:rFonts w:hint="eastAsia"/>
          <w:kern w:val="0"/>
        </w:rPr>
        <w:t>万元奖励，</w:t>
      </w:r>
      <w:r>
        <w:rPr>
          <w:rFonts w:hint="default"/>
          <w:kern w:val="0"/>
        </w:rPr>
        <w:t>增速</w:t>
      </w:r>
      <w:r>
        <w:rPr>
          <w:rFonts w:hint="eastAsia"/>
          <w:kern w:val="0"/>
        </w:rPr>
        <w:t>奖励</w:t>
      </w:r>
      <w:r>
        <w:rPr>
          <w:rFonts w:hint="default"/>
          <w:kern w:val="0"/>
        </w:rPr>
        <w:t>合计</w:t>
      </w:r>
      <w:r>
        <w:rPr>
          <w:rFonts w:hint="eastAsia"/>
          <w:kern w:val="0"/>
        </w:rPr>
        <w:t>最高不超过10万元</w:t>
      </w:r>
      <w:r>
        <w:rPr>
          <w:rFonts w:hint="default"/>
          <w:kern w:val="0"/>
        </w:rPr>
        <w:t>；</w:t>
      </w:r>
      <w:r>
        <w:rPr>
          <w:rFonts w:hint="eastAsia"/>
          <w:kern w:val="0"/>
        </w:rPr>
        <w:t>对新</w:t>
      </w:r>
      <w:r>
        <w:rPr>
          <w:rFonts w:hint="default"/>
          <w:kern w:val="0"/>
        </w:rPr>
        <w:t>纳入数字经济核心产业企业</w:t>
      </w:r>
      <w:r>
        <w:rPr>
          <w:rFonts w:hint="eastAsia"/>
          <w:kern w:val="0"/>
        </w:rPr>
        <w:t>库的企业给予一次性</w:t>
      </w:r>
      <w:r>
        <w:rPr>
          <w:rFonts w:hint="default"/>
          <w:kern w:val="0"/>
        </w:rPr>
        <w:t>6</w:t>
      </w:r>
      <w:r>
        <w:rPr>
          <w:rFonts w:hint="eastAsia"/>
          <w:kern w:val="0"/>
        </w:rPr>
        <w:t>万元奖励</w:t>
      </w:r>
      <w:r>
        <w:rPr>
          <w:rFonts w:hint="default"/>
          <w:kern w:val="0"/>
        </w:rPr>
        <w:t>。</w:t>
      </w:r>
    </w:p>
    <w:p>
      <w:pPr>
        <w:keepNext w:val="0"/>
        <w:keepLines w:val="0"/>
        <w:pageBreakBefore w:val="0"/>
        <w:kinsoku/>
        <w:wordWrap/>
        <w:overflowPunct/>
        <w:topLinePunct w:val="0"/>
        <w:autoSpaceDE/>
        <w:autoSpaceDN/>
        <w:bidi w:val="0"/>
        <w:adjustRightInd/>
        <w:spacing w:line="560" w:lineRule="exact"/>
        <w:ind w:firstLine="640"/>
        <w:textAlignment w:val="auto"/>
        <w:outlineLvl w:val="0"/>
        <w:rPr>
          <w:rFonts w:ascii="Arial" w:hAnsi="Arial" w:eastAsia="黑体"/>
          <w:szCs w:val="22"/>
        </w:rPr>
      </w:pPr>
      <w:r>
        <w:rPr>
          <w:rFonts w:hint="eastAsia" w:ascii="Arial" w:hAnsi="Arial" w:eastAsia="黑体"/>
          <w:szCs w:val="22"/>
          <w:lang w:val="en-US" w:eastAsia="zh-CN"/>
        </w:rPr>
        <w:t>三</w:t>
      </w:r>
      <w:r>
        <w:rPr>
          <w:rFonts w:hint="eastAsia" w:ascii="Arial" w:hAnsi="Arial" w:eastAsia="黑体"/>
          <w:szCs w:val="22"/>
        </w:rPr>
        <w:t>、软件和信息服务企业进规奖励</w:t>
      </w:r>
    </w:p>
    <w:p>
      <w:pPr>
        <w:keepNext w:val="0"/>
        <w:keepLines w:val="0"/>
        <w:pageBreakBefore w:val="0"/>
        <w:kinsoku/>
        <w:wordWrap/>
        <w:overflowPunct/>
        <w:topLinePunct w:val="0"/>
        <w:autoSpaceDE/>
        <w:autoSpaceDN/>
        <w:bidi w:val="0"/>
        <w:adjustRightInd/>
        <w:spacing w:line="560" w:lineRule="exact"/>
        <w:ind w:firstLine="643"/>
        <w:textAlignment w:val="auto"/>
        <w:outlineLvl w:val="1"/>
        <w:rPr>
          <w:rStyle w:val="10"/>
          <w:szCs w:val="22"/>
        </w:rPr>
      </w:pPr>
      <w:r>
        <w:rPr>
          <w:rStyle w:val="10"/>
          <w:rFonts w:hint="eastAsia"/>
          <w:szCs w:val="22"/>
        </w:rPr>
        <w:t>（一）申报条件</w:t>
      </w:r>
    </w:p>
    <w:p>
      <w:pPr>
        <w:keepNext w:val="0"/>
        <w:keepLines w:val="0"/>
        <w:pageBreakBefore w:val="0"/>
        <w:kinsoku/>
        <w:wordWrap/>
        <w:overflowPunct/>
        <w:topLinePunct w:val="0"/>
        <w:autoSpaceDE/>
        <w:autoSpaceDN/>
        <w:bidi w:val="0"/>
        <w:adjustRightInd/>
        <w:spacing w:line="560" w:lineRule="exact"/>
        <w:ind w:firstLine="640"/>
        <w:textAlignment w:val="auto"/>
      </w:pPr>
      <w:r>
        <w:rPr>
          <w:rFonts w:hint="eastAsia"/>
        </w:rPr>
        <w:t>1.申报单位为慈溪市本级行政区域内依法生产经营并纳税的软件和信息服务业企业；</w:t>
      </w:r>
    </w:p>
    <w:p>
      <w:pPr>
        <w:keepNext w:val="0"/>
        <w:keepLines w:val="0"/>
        <w:pageBreakBefore w:val="0"/>
        <w:kinsoku/>
        <w:wordWrap/>
        <w:overflowPunct/>
        <w:topLinePunct w:val="0"/>
        <w:autoSpaceDE/>
        <w:autoSpaceDN/>
        <w:bidi w:val="0"/>
        <w:adjustRightInd/>
        <w:spacing w:line="560" w:lineRule="exact"/>
        <w:ind w:firstLine="640"/>
        <w:textAlignment w:val="auto"/>
      </w:pPr>
      <w:r>
        <w:rPr>
          <w:rFonts w:hint="eastAsia"/>
        </w:rPr>
        <w:t>2.企业上年度末或本年度纳入到统计局软件和信息服务业统计企业名录，包括代码调整、产值提升以及月度进规等方式；</w:t>
      </w:r>
    </w:p>
    <w:p>
      <w:pPr>
        <w:pStyle w:val="2"/>
        <w:keepNext w:val="0"/>
        <w:keepLines w:val="0"/>
        <w:pageBreakBefore w:val="0"/>
        <w:kinsoku/>
        <w:wordWrap/>
        <w:overflowPunct/>
        <w:topLinePunct w:val="0"/>
        <w:autoSpaceDE/>
        <w:autoSpaceDN/>
        <w:bidi w:val="0"/>
        <w:adjustRightInd/>
        <w:spacing w:line="560" w:lineRule="exact"/>
        <w:ind w:firstLine="640"/>
        <w:textAlignment w:val="auto"/>
      </w:pPr>
      <w:r>
        <w:rPr>
          <w:rFonts w:hint="eastAsia"/>
        </w:rPr>
        <w:t>3.企业当年度营业收入同比增长</w:t>
      </w:r>
      <w:r>
        <w:t>2</w:t>
      </w:r>
      <w:r>
        <w:rPr>
          <w:rFonts w:hint="eastAsia"/>
        </w:rPr>
        <w:t>0%以上。</w:t>
      </w:r>
    </w:p>
    <w:p>
      <w:pPr>
        <w:keepNext w:val="0"/>
        <w:keepLines w:val="0"/>
        <w:pageBreakBefore w:val="0"/>
        <w:kinsoku/>
        <w:wordWrap/>
        <w:overflowPunct/>
        <w:topLinePunct w:val="0"/>
        <w:autoSpaceDE/>
        <w:autoSpaceDN/>
        <w:bidi w:val="0"/>
        <w:adjustRightInd/>
        <w:spacing w:line="560" w:lineRule="exact"/>
        <w:ind w:firstLine="643"/>
        <w:textAlignment w:val="auto"/>
        <w:outlineLvl w:val="1"/>
        <w:rPr>
          <w:rFonts w:hint="eastAsia"/>
        </w:rPr>
      </w:pPr>
      <w:r>
        <w:rPr>
          <w:rStyle w:val="10"/>
          <w:rFonts w:hint="eastAsia"/>
          <w:szCs w:val="22"/>
        </w:rPr>
        <w:t>（二）奖励标准</w:t>
      </w:r>
    </w:p>
    <w:p>
      <w:pPr>
        <w:pStyle w:val="2"/>
        <w:keepNext w:val="0"/>
        <w:keepLines w:val="0"/>
        <w:pageBreakBefore w:val="0"/>
        <w:kinsoku/>
        <w:wordWrap/>
        <w:overflowPunct/>
        <w:topLinePunct w:val="0"/>
        <w:autoSpaceDE/>
        <w:autoSpaceDN/>
        <w:bidi w:val="0"/>
        <w:adjustRightInd/>
        <w:spacing w:line="560" w:lineRule="exact"/>
        <w:ind w:firstLine="640"/>
        <w:textAlignment w:val="auto"/>
        <w:outlineLvl w:val="1"/>
        <w:rPr>
          <w:rFonts w:hint="default"/>
          <w:lang w:val="en-US"/>
        </w:rPr>
      </w:pPr>
      <w:r>
        <w:rPr>
          <w:rFonts w:hint="default"/>
          <w:lang w:val="en-US"/>
        </w:rPr>
        <w:t>对当年度月度进规的软件和信息服务业企业，给予一次性50万元奖励。已纳入规上软件和信息服务业统计的企业，当年度营业收入增幅达20%的，给予20万元奖励；对增幅超过20%的，增幅每增加一个百分点奖励1万元，最高不超过30万元。</w:t>
      </w:r>
    </w:p>
    <w:p>
      <w:pPr>
        <w:keepNext w:val="0"/>
        <w:keepLines w:val="0"/>
        <w:pageBreakBefore w:val="0"/>
        <w:kinsoku/>
        <w:wordWrap/>
        <w:overflowPunct/>
        <w:topLinePunct w:val="0"/>
        <w:autoSpaceDE/>
        <w:autoSpaceDN/>
        <w:bidi w:val="0"/>
        <w:adjustRightInd/>
        <w:spacing w:line="560" w:lineRule="exact"/>
        <w:ind w:left="0" w:leftChars="0" w:firstLine="0" w:firstLineChars="0"/>
        <w:textAlignment w:val="auto"/>
        <w:rPr>
          <w:rFonts w:hint="eastAsia" w:ascii="黑体" w:hAnsi="黑体" w:eastAsia="黑体" w:cs="黑体"/>
        </w:rPr>
      </w:pPr>
      <w:r>
        <w:rPr>
          <w:rFonts w:hint="eastAsia" w:ascii="黑体" w:hAnsi="黑体" w:eastAsia="黑体" w:cs="黑体"/>
        </w:rPr>
        <w:t xml:space="preserve">    </w:t>
      </w:r>
      <w:r>
        <w:rPr>
          <w:rFonts w:hint="eastAsia" w:ascii="黑体" w:hAnsi="黑体" w:eastAsia="黑体" w:cs="黑体"/>
          <w:lang w:val="en-US" w:eastAsia="zh-CN"/>
        </w:rPr>
        <w:t>四</w:t>
      </w:r>
      <w:r>
        <w:rPr>
          <w:rFonts w:hint="eastAsia" w:ascii="黑体" w:hAnsi="黑体" w:eastAsia="黑体" w:cs="黑体"/>
        </w:rPr>
        <w:t>、申报流程</w:t>
      </w:r>
    </w:p>
    <w:p>
      <w:pPr>
        <w:keepNext w:val="0"/>
        <w:keepLines w:val="0"/>
        <w:pageBreakBefore w:val="0"/>
        <w:kinsoku/>
        <w:wordWrap/>
        <w:overflowPunct/>
        <w:topLinePunct w:val="0"/>
        <w:autoSpaceDE/>
        <w:autoSpaceDN/>
        <w:bidi w:val="0"/>
        <w:adjustRightInd/>
        <w:spacing w:line="560" w:lineRule="exact"/>
        <w:ind w:left="0" w:leftChars="0" w:firstLine="0" w:firstLineChars="0"/>
        <w:textAlignment w:val="auto"/>
        <w:outlineLvl w:val="1"/>
        <w:rPr>
          <w:rStyle w:val="10"/>
          <w:rFonts w:hint="default"/>
          <w:szCs w:val="22"/>
        </w:rPr>
      </w:pPr>
      <w:r>
        <w:rPr>
          <w:rStyle w:val="10"/>
          <w:szCs w:val="22"/>
        </w:rPr>
        <w:t xml:space="preserve">    （一）申报材料</w:t>
      </w:r>
    </w:p>
    <w:p>
      <w:pPr>
        <w:keepNext w:val="0"/>
        <w:keepLines w:val="0"/>
        <w:pageBreakBefore w:val="0"/>
        <w:kinsoku/>
        <w:wordWrap/>
        <w:overflowPunct/>
        <w:topLinePunct w:val="0"/>
        <w:autoSpaceDE/>
        <w:autoSpaceDN/>
        <w:bidi w:val="0"/>
        <w:adjustRightInd/>
        <w:spacing w:line="560" w:lineRule="exact"/>
        <w:ind w:left="0" w:leftChars="0" w:firstLine="0" w:firstLineChars="0"/>
        <w:textAlignment w:val="auto"/>
        <w:outlineLvl w:val="1"/>
        <w:rPr>
          <w:rFonts w:hint="default"/>
        </w:rPr>
      </w:pPr>
      <w:r>
        <w:t xml:space="preserve">    </w:t>
      </w:r>
      <w:r>
        <w:rPr>
          <w:rFonts w:hint="eastAsia"/>
        </w:rPr>
        <w:t>数字经济十强申报企业填报附件1，奖励政策申报企业填报附件2，并加盖企业公章。表内企业产值/营收数据由各镇（街道、园区）</w:t>
      </w:r>
      <w:r>
        <w:t>核实盖章确认，不含累计调整部分。</w:t>
      </w:r>
      <w:r>
        <w:rPr>
          <w:lang w:val="en-US"/>
        </w:rPr>
        <w:t>申报类别填写数字经济核心产业企业增量奖励或软件和信息服务企业进规奖励。</w:t>
      </w:r>
    </w:p>
    <w:p>
      <w:pPr>
        <w:keepNext w:val="0"/>
        <w:keepLines w:val="0"/>
        <w:pageBreakBefore w:val="0"/>
        <w:kinsoku/>
        <w:wordWrap/>
        <w:overflowPunct/>
        <w:topLinePunct w:val="0"/>
        <w:autoSpaceDE/>
        <w:autoSpaceDN/>
        <w:bidi w:val="0"/>
        <w:adjustRightInd/>
        <w:spacing w:line="560" w:lineRule="exact"/>
        <w:ind w:left="0" w:leftChars="0" w:firstLine="0" w:firstLineChars="0"/>
        <w:textAlignment w:val="auto"/>
        <w:outlineLvl w:val="1"/>
        <w:rPr>
          <w:rStyle w:val="10"/>
          <w:rFonts w:hint="default"/>
          <w:szCs w:val="22"/>
        </w:rPr>
      </w:pPr>
      <w:r>
        <w:t xml:space="preserve">    </w:t>
      </w:r>
      <w:r>
        <w:rPr>
          <w:rStyle w:val="10"/>
          <w:szCs w:val="22"/>
        </w:rPr>
        <w:t>（二）审核及兑现</w:t>
      </w:r>
    </w:p>
    <w:p>
      <w:pPr>
        <w:pStyle w:val="2"/>
        <w:keepNext w:val="0"/>
        <w:keepLines w:val="0"/>
        <w:pageBreakBefore w:val="0"/>
        <w:kinsoku/>
        <w:wordWrap/>
        <w:overflowPunct/>
        <w:topLinePunct w:val="0"/>
        <w:autoSpaceDE/>
        <w:autoSpaceDN/>
        <w:bidi w:val="0"/>
        <w:adjustRightInd/>
        <w:spacing w:line="560" w:lineRule="exact"/>
        <w:ind w:firstLine="640"/>
        <w:textAlignment w:val="auto"/>
        <w:rPr>
          <w:rStyle w:val="10"/>
          <w:szCs w:val="22"/>
        </w:rPr>
      </w:pPr>
      <w:r>
        <w:rPr>
          <w:rFonts w:hint="eastAsia"/>
        </w:rPr>
        <w:t>市经信局根据</w:t>
      </w:r>
      <w:r>
        <w:rPr>
          <w:rFonts w:hint="default"/>
        </w:rPr>
        <w:t>企业申报材料及镇（街道、园区）</w:t>
      </w:r>
      <w:r>
        <w:rPr>
          <w:rFonts w:hint="eastAsia"/>
        </w:rPr>
        <w:t>核实情况</w:t>
      </w:r>
      <w:r>
        <w:rPr>
          <w:rFonts w:hint="default"/>
        </w:rPr>
        <w:t>核</w:t>
      </w:r>
      <w:r>
        <w:rPr>
          <w:rFonts w:hint="eastAsia"/>
        </w:rPr>
        <w:t>定奖励金额；经公示后，对符合奖励条件的企业下达奖励资金。</w:t>
      </w:r>
    </w:p>
    <w:p>
      <w:pPr>
        <w:keepNext w:val="0"/>
        <w:keepLines w:val="0"/>
        <w:pageBreakBefore w:val="0"/>
        <w:kinsoku/>
        <w:wordWrap/>
        <w:overflowPunct/>
        <w:topLinePunct w:val="0"/>
        <w:autoSpaceDE/>
        <w:autoSpaceDN/>
        <w:bidi w:val="0"/>
        <w:adjustRightInd/>
        <w:spacing w:line="560" w:lineRule="exact"/>
        <w:ind w:left="0" w:leftChars="0" w:firstLine="0" w:firstLineChars="0"/>
        <w:textAlignment w:val="auto"/>
      </w:pPr>
    </w:p>
    <w:p>
      <w:pPr>
        <w:pStyle w:val="2"/>
      </w:pPr>
    </w:p>
    <w:p>
      <w:pPr>
        <w:pStyle w:val="2"/>
        <w:rPr>
          <w:rFonts w:hint="eastAsia"/>
          <w:lang w:val="en-US" w:eastAsia="zh-CN"/>
        </w:rPr>
      </w:pPr>
      <w:r>
        <w:rPr>
          <w:rFonts w:hint="eastAsia"/>
          <w:lang w:val="en-US" w:eastAsia="zh-CN"/>
        </w:rPr>
        <w:t>附表：</w:t>
      </w:r>
    </w:p>
    <w:p>
      <w:pPr>
        <w:pStyle w:val="2"/>
        <w:rPr>
          <w:rFonts w:hint="eastAsia"/>
          <w:lang w:val="en-US" w:eastAsia="zh-CN"/>
        </w:rPr>
      </w:pPr>
      <w:r>
        <w:rPr>
          <w:rFonts w:hint="eastAsia"/>
          <w:lang w:val="en-US" w:eastAsia="zh-CN"/>
        </w:rPr>
        <w:t>1.慈溪市数字经济十强企业申报表（2023年度）</w:t>
      </w:r>
    </w:p>
    <w:p>
      <w:pPr>
        <w:pStyle w:val="2"/>
        <w:rPr>
          <w:rFonts w:hint="default"/>
          <w:lang w:val="en-US" w:eastAsia="zh-CN"/>
        </w:rPr>
      </w:pPr>
      <w:r>
        <w:rPr>
          <w:rFonts w:hint="eastAsia"/>
          <w:lang w:val="en-US" w:eastAsia="zh-CN"/>
        </w:rPr>
        <w:t>2.慈溪市数字经济奖励政策申报表（2023年度）</w:t>
      </w:r>
    </w:p>
    <w:p>
      <w:pPr>
        <w:keepNext w:val="0"/>
        <w:keepLines w:val="0"/>
        <w:pageBreakBefore w:val="0"/>
        <w:widowControl/>
        <w:kinsoku/>
        <w:wordWrap/>
        <w:overflowPunct/>
        <w:topLinePunct w:val="0"/>
        <w:autoSpaceDE/>
        <w:autoSpaceDN/>
        <w:bidi w:val="0"/>
        <w:adjustRightInd/>
        <w:spacing w:line="560" w:lineRule="exact"/>
        <w:ind w:firstLine="0" w:firstLineChars="0"/>
        <w:jc w:val="left"/>
        <w:textAlignment w:val="auto"/>
      </w:pPr>
      <w:r>
        <w:br w:type="page"/>
      </w:r>
    </w:p>
    <w:p>
      <w:pPr>
        <w:pStyle w:val="2"/>
        <w:ind w:firstLine="0" w:firstLineChars="0"/>
        <w:rPr>
          <w:rFonts w:hint="eastAsia" w:eastAsia="仿宋_GB2312"/>
          <w:lang w:val="en-US" w:eastAsia="zh-CN"/>
        </w:rPr>
      </w:pPr>
      <w:r>
        <w:rPr>
          <w:rFonts w:hint="eastAsia"/>
        </w:rPr>
        <w:t>附表</w:t>
      </w:r>
      <w:r>
        <w:rPr>
          <w:rFonts w:hint="eastAsia"/>
          <w:lang w:val="en-US" w:eastAsia="zh-CN"/>
        </w:rPr>
        <w:t>1</w:t>
      </w:r>
    </w:p>
    <w:p>
      <w:pPr>
        <w:pStyle w:val="7"/>
        <w:ind w:firstLine="643"/>
      </w:pPr>
      <w:r>
        <w:rPr>
          <w:rFonts w:hint="eastAsia"/>
        </w:rPr>
        <w:t>慈溪市数字经济</w:t>
      </w:r>
      <w:r>
        <w:rPr>
          <w:rFonts w:hint="eastAsia"/>
          <w:lang w:eastAsia="zh-CN"/>
        </w:rPr>
        <w:t>十强企业</w:t>
      </w:r>
      <w:r>
        <w:rPr>
          <w:rFonts w:hint="eastAsia"/>
        </w:rPr>
        <w:t>申报表（202</w:t>
      </w:r>
      <w:r>
        <w:rPr>
          <w:rFonts w:hint="default"/>
        </w:rPr>
        <w:t>3</w:t>
      </w:r>
      <w:r>
        <w:rPr>
          <w:rFonts w:hint="eastAsia"/>
        </w:rPr>
        <w:t>年度）</w:t>
      </w:r>
    </w:p>
    <w:tbl>
      <w:tblPr>
        <w:tblStyle w:val="11"/>
        <w:tblW w:w="8775" w:type="dxa"/>
        <w:tblInd w:w="0" w:type="dxa"/>
        <w:tblLayout w:type="fixed"/>
        <w:tblCellMar>
          <w:top w:w="0" w:type="dxa"/>
          <w:left w:w="0" w:type="dxa"/>
          <w:bottom w:w="0" w:type="dxa"/>
          <w:right w:w="0" w:type="dxa"/>
        </w:tblCellMar>
      </w:tblPr>
      <w:tblGrid>
        <w:gridCol w:w="4857"/>
        <w:gridCol w:w="3918"/>
      </w:tblGrid>
      <w:tr>
        <w:tblPrEx>
          <w:tblLayout w:type="fixed"/>
          <w:tblCellMar>
            <w:top w:w="0" w:type="dxa"/>
            <w:left w:w="0" w:type="dxa"/>
            <w:bottom w:w="0" w:type="dxa"/>
            <w:right w:w="0" w:type="dxa"/>
          </w:tblCellMar>
        </w:tblPrEx>
        <w:trPr>
          <w:trHeight w:val="758" w:hRule="atLeast"/>
        </w:trPr>
        <w:tc>
          <w:tcPr>
            <w:tcW w:w="877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jc w:val="left"/>
              <w:textAlignment w:val="center"/>
              <w:rPr>
                <w:rFonts w:ascii="仿宋_GB2312" w:hAnsi="宋体" w:cs="仿宋_GB2312"/>
                <w:color w:val="000000"/>
                <w:szCs w:val="32"/>
              </w:rPr>
            </w:pPr>
            <w:r>
              <w:rPr>
                <w:rFonts w:ascii="仿宋_GB2312" w:hAnsi="宋体" w:cs="仿宋_GB2312"/>
                <w:color w:val="000000"/>
                <w:kern w:val="0"/>
                <w:szCs w:val="32"/>
                <w:lang w:bidi="ar"/>
              </w:rPr>
              <w:t>申报企业(盖章)：</w:t>
            </w:r>
          </w:p>
        </w:tc>
      </w:tr>
      <w:tr>
        <w:tblPrEx>
          <w:tblLayout w:type="fixed"/>
          <w:tblCellMar>
            <w:top w:w="0" w:type="dxa"/>
            <w:left w:w="0" w:type="dxa"/>
            <w:bottom w:w="0" w:type="dxa"/>
            <w:right w:w="0" w:type="dxa"/>
          </w:tblCellMar>
        </w:tblPrEx>
        <w:trPr>
          <w:trHeight w:val="758" w:hRule="atLeast"/>
        </w:trPr>
        <w:tc>
          <w:tcPr>
            <w:tcW w:w="877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jc w:val="left"/>
              <w:textAlignment w:val="center"/>
              <w:rPr>
                <w:rFonts w:ascii="仿宋_GB2312" w:hAnsi="宋体" w:cs="仿宋_GB2312"/>
                <w:color w:val="000000"/>
                <w:szCs w:val="32"/>
              </w:rPr>
            </w:pPr>
            <w:r>
              <w:rPr>
                <w:rFonts w:ascii="仿宋_GB2312" w:hAnsi="宋体" w:cs="仿宋_GB2312"/>
                <w:color w:val="000000"/>
                <w:kern w:val="0"/>
                <w:szCs w:val="32"/>
                <w:lang w:bidi="ar"/>
              </w:rPr>
              <w:t>社会统一信用代码：</w:t>
            </w:r>
          </w:p>
        </w:tc>
      </w:tr>
      <w:tr>
        <w:tblPrEx>
          <w:tblLayout w:type="fixed"/>
          <w:tblCellMar>
            <w:top w:w="0" w:type="dxa"/>
            <w:left w:w="0" w:type="dxa"/>
            <w:bottom w:w="0" w:type="dxa"/>
            <w:right w:w="0" w:type="dxa"/>
          </w:tblCellMar>
        </w:tblPrEx>
        <w:trPr>
          <w:trHeight w:val="758" w:hRule="atLeast"/>
        </w:trPr>
        <w:tc>
          <w:tcPr>
            <w:tcW w:w="877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jc w:val="left"/>
              <w:textAlignment w:val="center"/>
              <w:rPr>
                <w:rFonts w:ascii="仿宋_GB2312" w:hAnsi="宋体" w:cs="仿宋_GB2312"/>
                <w:color w:val="000000"/>
                <w:kern w:val="0"/>
                <w:szCs w:val="32"/>
                <w:lang w:bidi="ar"/>
              </w:rPr>
            </w:pPr>
            <w:r>
              <w:rPr>
                <w:rFonts w:hint="eastAsia" w:ascii="仿宋_GB2312" w:hAnsi="宋体" w:cs="仿宋_GB2312"/>
                <w:color w:val="000000"/>
                <w:kern w:val="0"/>
                <w:szCs w:val="32"/>
                <w:lang w:eastAsia="zh-CN" w:bidi="ar"/>
              </w:rPr>
              <w:t>法定代表人</w:t>
            </w:r>
            <w:r>
              <w:rPr>
                <w:rFonts w:hint="eastAsia" w:ascii="仿宋_GB2312" w:hAnsi="宋体" w:cs="仿宋_GB2312"/>
                <w:color w:val="000000"/>
                <w:kern w:val="0"/>
                <w:szCs w:val="32"/>
                <w:lang w:bidi="ar"/>
              </w:rPr>
              <w:t>：</w:t>
            </w:r>
          </w:p>
        </w:tc>
      </w:tr>
      <w:tr>
        <w:tblPrEx>
          <w:tblLayout w:type="fixed"/>
          <w:tblCellMar>
            <w:top w:w="0" w:type="dxa"/>
            <w:left w:w="0" w:type="dxa"/>
            <w:bottom w:w="0" w:type="dxa"/>
            <w:right w:w="0" w:type="dxa"/>
          </w:tblCellMar>
        </w:tblPrEx>
        <w:trPr>
          <w:trHeight w:val="758" w:hRule="atLeast"/>
        </w:trPr>
        <w:tc>
          <w:tcPr>
            <w:tcW w:w="877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jc w:val="left"/>
              <w:textAlignment w:val="center"/>
              <w:rPr>
                <w:rFonts w:hint="eastAsia" w:ascii="仿宋_GB2312" w:hAnsi="宋体" w:eastAsia="仿宋_GB2312" w:cs="仿宋_GB2312"/>
                <w:color w:val="000000"/>
                <w:kern w:val="0"/>
                <w:szCs w:val="32"/>
                <w:lang w:eastAsia="zh-CN" w:bidi="ar"/>
              </w:rPr>
            </w:pPr>
            <w:r>
              <w:rPr>
                <w:rFonts w:hint="eastAsia" w:ascii="仿宋_GB2312" w:hAnsi="宋体" w:cs="仿宋_GB2312"/>
                <w:color w:val="000000"/>
                <w:kern w:val="0"/>
                <w:szCs w:val="32"/>
                <w:lang w:eastAsia="zh-CN" w:bidi="ar"/>
              </w:rPr>
              <w:t>法定代表人身份证号码：</w:t>
            </w:r>
          </w:p>
        </w:tc>
      </w:tr>
      <w:tr>
        <w:tblPrEx>
          <w:tblLayout w:type="fixed"/>
          <w:tblCellMar>
            <w:top w:w="0" w:type="dxa"/>
            <w:left w:w="0" w:type="dxa"/>
            <w:bottom w:w="0" w:type="dxa"/>
            <w:right w:w="0" w:type="dxa"/>
          </w:tblCellMar>
        </w:tblPrEx>
        <w:trPr>
          <w:trHeight w:val="4638" w:hRule="atLeast"/>
        </w:trPr>
        <w:tc>
          <w:tcPr>
            <w:tcW w:w="8775"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pStyle w:val="2"/>
              <w:ind w:firstLine="640"/>
            </w:pPr>
            <w:r>
              <w:rPr>
                <w:rFonts w:hint="eastAsia"/>
              </w:rPr>
              <w:t>申报企业简介（要求包括企业成立时间、公司地址、占地面积、市内外投资情况、主要产品（产能、各类市场占有率）先进技术、生产工艺、数字化（智能化）改造项目、各类荣誉、发展愿景等方面，不少于500字）。</w:t>
            </w:r>
          </w:p>
          <w:p>
            <w:pPr>
              <w:widowControl/>
              <w:ind w:firstLine="640"/>
              <w:jc w:val="left"/>
              <w:textAlignment w:val="center"/>
              <w:rPr>
                <w:rFonts w:ascii="仿宋_GB2312" w:hAnsi="宋体" w:cs="仿宋_GB2312"/>
                <w:color w:val="000000"/>
                <w:szCs w:val="32"/>
              </w:rPr>
            </w:pPr>
            <w:r>
              <w:rPr>
                <w:rFonts w:ascii="仿宋_GB2312" w:hAnsi="宋体" w:cs="仿宋_GB2312"/>
                <w:color w:val="000000"/>
                <w:kern w:val="0"/>
                <w:szCs w:val="32"/>
                <w:lang w:bidi="ar"/>
              </w:rPr>
              <w:t xml:space="preserve">               </w:t>
            </w:r>
          </w:p>
        </w:tc>
      </w:tr>
      <w:tr>
        <w:tblPrEx>
          <w:tblLayout w:type="fixed"/>
          <w:tblCellMar>
            <w:top w:w="0" w:type="dxa"/>
            <w:left w:w="0" w:type="dxa"/>
            <w:bottom w:w="0" w:type="dxa"/>
            <w:right w:w="0" w:type="dxa"/>
          </w:tblCellMar>
        </w:tblPrEx>
        <w:trPr>
          <w:trHeight w:val="3198" w:hRule="atLeast"/>
        </w:trPr>
        <w:tc>
          <w:tcPr>
            <w:tcW w:w="4857"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tcPr>
          <w:p>
            <w:pPr>
              <w:widowControl/>
              <w:ind w:firstLine="0" w:firstLineChars="0"/>
              <w:textAlignment w:val="center"/>
              <w:rPr>
                <w:rFonts w:ascii="仿宋_GB2312" w:hAnsi="宋体" w:cs="仿宋_GB2312"/>
                <w:color w:val="000000"/>
                <w:szCs w:val="32"/>
              </w:rPr>
            </w:pPr>
            <w:r>
              <w:rPr>
                <w:rFonts w:ascii="仿宋_GB2312" w:hAnsi="宋体" w:cs="仿宋_GB2312"/>
                <w:color w:val="000000"/>
                <w:kern w:val="0"/>
                <w:szCs w:val="32"/>
                <w:lang w:bidi="ar"/>
              </w:rPr>
              <w:t>镇（街道、园区）经发部门意见</w:t>
            </w:r>
            <w:r>
              <w:rPr>
                <w:rFonts w:hint="eastAsia" w:ascii="仿宋_GB2312" w:hAnsi="宋体" w:cs="仿宋_GB2312"/>
                <w:color w:val="000000"/>
                <w:kern w:val="0"/>
                <w:szCs w:val="32"/>
                <w:lang w:bidi="ar"/>
              </w:rPr>
              <w:t>:</w:t>
            </w:r>
          </w:p>
        </w:tc>
        <w:tc>
          <w:tcPr>
            <w:tcW w:w="3918" w:type="dxa"/>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jc w:val="left"/>
              <w:textAlignment w:val="center"/>
            </w:pPr>
            <w:r>
              <w:t>（盖章）</w:t>
            </w:r>
          </w:p>
          <w:p>
            <w:pPr>
              <w:pStyle w:val="2"/>
              <w:ind w:firstLine="640"/>
            </w:pPr>
            <w:r>
              <w:rPr>
                <w:rFonts w:hint="eastAsia"/>
              </w:rPr>
              <w:t>年   月   日</w:t>
            </w:r>
          </w:p>
        </w:tc>
      </w:tr>
    </w:tbl>
    <w:p>
      <w:pPr>
        <w:spacing w:line="120" w:lineRule="exact"/>
        <w:ind w:firstLine="0" w:firstLineChars="0"/>
        <w:outlineLvl w:val="1"/>
        <w:sectPr>
          <w:footerReference r:id="rId3" w:type="default"/>
          <w:type w:val="continuous"/>
          <w:pgSz w:w="11906" w:h="16838"/>
          <w:pgMar w:top="2098" w:right="1474" w:bottom="1985" w:left="1588" w:header="851" w:footer="1361" w:gutter="0"/>
          <w:cols w:space="425" w:num="1"/>
          <w:docGrid w:type="lines" w:linePitch="573" w:charSpace="-1843"/>
        </w:sectPr>
      </w:pPr>
    </w:p>
    <w:p>
      <w:pPr>
        <w:pStyle w:val="2"/>
        <w:ind w:firstLine="0" w:firstLineChars="0"/>
        <w:rPr>
          <w:rFonts w:hint="eastAsia" w:eastAsia="仿宋_GB2312"/>
          <w:lang w:val="en-US" w:eastAsia="zh-CN"/>
        </w:rPr>
      </w:pPr>
      <w:r>
        <w:rPr>
          <w:rFonts w:hint="eastAsia"/>
        </w:rPr>
        <w:t>附表</w:t>
      </w:r>
      <w:r>
        <w:rPr>
          <w:rFonts w:hint="eastAsia"/>
          <w:lang w:val="en-US" w:eastAsia="zh-CN"/>
        </w:rPr>
        <w:t>2</w:t>
      </w:r>
    </w:p>
    <w:p>
      <w:pPr>
        <w:pStyle w:val="7"/>
        <w:ind w:firstLine="643"/>
      </w:pPr>
      <w:r>
        <w:rPr>
          <w:rFonts w:hint="eastAsia"/>
        </w:rPr>
        <w:t>慈溪市数字经济</w:t>
      </w:r>
      <w:r>
        <w:rPr>
          <w:rFonts w:hint="default"/>
        </w:rPr>
        <w:t>奖励政策</w:t>
      </w:r>
      <w:r>
        <w:rPr>
          <w:rFonts w:hint="eastAsia"/>
        </w:rPr>
        <w:t>申报表（202</w:t>
      </w:r>
      <w:r>
        <w:rPr>
          <w:rFonts w:hint="default"/>
        </w:rPr>
        <w:t>3</w:t>
      </w:r>
      <w:r>
        <w:rPr>
          <w:rFonts w:hint="eastAsia"/>
        </w:rPr>
        <w:t>年度）</w:t>
      </w:r>
    </w:p>
    <w:tbl>
      <w:tblPr>
        <w:tblStyle w:val="11"/>
        <w:tblpPr w:leftFromText="180" w:rightFromText="180" w:vertAnchor="text" w:horzAnchor="margin" w:tblpXSpec="center"/>
        <w:tblOverlap w:val="never"/>
        <w:tblW w:w="8775" w:type="dxa"/>
        <w:jc w:val="center"/>
        <w:tblInd w:w="0" w:type="dxa"/>
        <w:tblLayout w:type="fixed"/>
        <w:tblCellMar>
          <w:top w:w="0" w:type="dxa"/>
          <w:left w:w="0" w:type="dxa"/>
          <w:bottom w:w="0" w:type="dxa"/>
          <w:right w:w="0" w:type="dxa"/>
        </w:tblCellMar>
      </w:tblPr>
      <w:tblGrid>
        <w:gridCol w:w="2925"/>
        <w:gridCol w:w="1932"/>
        <w:gridCol w:w="993"/>
        <w:gridCol w:w="2925"/>
      </w:tblGrid>
      <w:tr>
        <w:tblPrEx>
          <w:tblLayout w:type="fixed"/>
          <w:tblCellMar>
            <w:top w:w="0" w:type="dxa"/>
            <w:left w:w="0" w:type="dxa"/>
            <w:bottom w:w="0" w:type="dxa"/>
            <w:right w:w="0" w:type="dxa"/>
          </w:tblCellMar>
        </w:tblPrEx>
        <w:trPr>
          <w:trHeight w:val="758" w:hRule="atLeast"/>
          <w:jc w:val="center"/>
        </w:trPr>
        <w:tc>
          <w:tcPr>
            <w:tcW w:w="877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jc w:val="left"/>
              <w:textAlignment w:val="center"/>
              <w:rPr>
                <w:rFonts w:ascii="仿宋_GB2312" w:hAnsi="宋体" w:cs="仿宋_GB2312"/>
                <w:color w:val="000000"/>
                <w:szCs w:val="32"/>
              </w:rPr>
            </w:pPr>
            <w:r>
              <w:rPr>
                <w:rFonts w:ascii="仿宋_GB2312" w:hAnsi="宋体" w:cs="仿宋_GB2312"/>
                <w:color w:val="000000"/>
                <w:kern w:val="0"/>
                <w:szCs w:val="32"/>
              </w:rPr>
              <w:t>申报企业(盖章)：</w:t>
            </w:r>
          </w:p>
        </w:tc>
      </w:tr>
      <w:tr>
        <w:tblPrEx>
          <w:tblLayout w:type="fixed"/>
          <w:tblCellMar>
            <w:top w:w="0" w:type="dxa"/>
            <w:left w:w="0" w:type="dxa"/>
            <w:bottom w:w="0" w:type="dxa"/>
            <w:right w:w="0" w:type="dxa"/>
          </w:tblCellMar>
        </w:tblPrEx>
        <w:trPr>
          <w:trHeight w:val="758" w:hRule="atLeast"/>
          <w:jc w:val="center"/>
        </w:trPr>
        <w:tc>
          <w:tcPr>
            <w:tcW w:w="877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jc w:val="left"/>
              <w:textAlignment w:val="center"/>
              <w:rPr>
                <w:rFonts w:ascii="仿宋_GB2312" w:hAnsi="宋体" w:cs="仿宋_GB2312"/>
                <w:color w:val="000000"/>
                <w:szCs w:val="32"/>
              </w:rPr>
            </w:pPr>
            <w:r>
              <w:rPr>
                <w:rFonts w:ascii="仿宋_GB2312" w:hAnsi="宋体" w:cs="仿宋_GB2312"/>
                <w:color w:val="000000"/>
                <w:kern w:val="0"/>
                <w:szCs w:val="32"/>
              </w:rPr>
              <w:t>社会统一信用代码：</w:t>
            </w:r>
          </w:p>
        </w:tc>
      </w:tr>
      <w:tr>
        <w:tblPrEx>
          <w:tblLayout w:type="fixed"/>
          <w:tblCellMar>
            <w:top w:w="0" w:type="dxa"/>
            <w:left w:w="0" w:type="dxa"/>
            <w:bottom w:w="0" w:type="dxa"/>
            <w:right w:w="0" w:type="dxa"/>
          </w:tblCellMar>
        </w:tblPrEx>
        <w:trPr>
          <w:trHeight w:val="759" w:hRule="atLeast"/>
          <w:jc w:val="center"/>
        </w:trPr>
        <w:tc>
          <w:tcPr>
            <w:tcW w:w="877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firstLineChars="200"/>
              <w:jc w:val="left"/>
              <w:textAlignment w:val="center"/>
              <w:rPr>
                <w:rFonts w:hint="eastAsia" w:ascii="仿宋_GB2312" w:hAnsi="宋体" w:cs="仿宋_GB2312"/>
                <w:color w:val="000000"/>
                <w:kern w:val="0"/>
                <w:szCs w:val="32"/>
              </w:rPr>
            </w:pPr>
            <w:r>
              <w:rPr>
                <w:rFonts w:hint="eastAsia" w:ascii="仿宋_GB2312" w:hAnsi="宋体" w:cs="仿宋_GB2312"/>
                <w:color w:val="000000"/>
                <w:kern w:val="0"/>
                <w:szCs w:val="32"/>
                <w:lang w:eastAsia="zh-CN" w:bidi="ar"/>
              </w:rPr>
              <w:t>法定代表人</w:t>
            </w:r>
            <w:r>
              <w:rPr>
                <w:rFonts w:hint="eastAsia" w:ascii="仿宋_GB2312" w:hAnsi="宋体" w:cs="仿宋_GB2312"/>
                <w:color w:val="000000"/>
                <w:kern w:val="0"/>
                <w:szCs w:val="32"/>
                <w:lang w:bidi="ar"/>
              </w:rPr>
              <w:t>：</w:t>
            </w:r>
          </w:p>
        </w:tc>
      </w:tr>
      <w:tr>
        <w:tblPrEx>
          <w:tblLayout w:type="fixed"/>
          <w:tblCellMar>
            <w:top w:w="0" w:type="dxa"/>
            <w:left w:w="0" w:type="dxa"/>
            <w:bottom w:w="0" w:type="dxa"/>
            <w:right w:w="0" w:type="dxa"/>
          </w:tblCellMar>
        </w:tblPrEx>
        <w:trPr>
          <w:trHeight w:val="759" w:hRule="atLeast"/>
          <w:jc w:val="center"/>
        </w:trPr>
        <w:tc>
          <w:tcPr>
            <w:tcW w:w="877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firstLineChars="200"/>
              <w:jc w:val="left"/>
              <w:textAlignment w:val="center"/>
              <w:rPr>
                <w:rFonts w:hint="eastAsia" w:ascii="仿宋_GB2312" w:hAnsi="宋体" w:eastAsia="仿宋_GB2312" w:cs="仿宋_GB2312"/>
                <w:color w:val="000000"/>
                <w:kern w:val="0"/>
                <w:szCs w:val="32"/>
                <w:lang w:val="en-US" w:eastAsia="zh-CN"/>
              </w:rPr>
            </w:pPr>
            <w:r>
              <w:rPr>
                <w:rFonts w:hint="eastAsia" w:ascii="仿宋_GB2312" w:hAnsi="宋体" w:cs="仿宋_GB2312"/>
                <w:color w:val="000000"/>
                <w:kern w:val="0"/>
                <w:szCs w:val="32"/>
                <w:lang w:eastAsia="zh-CN" w:bidi="ar"/>
              </w:rPr>
              <w:t>法定代表人身份证号码：</w:t>
            </w:r>
          </w:p>
        </w:tc>
      </w:tr>
      <w:tr>
        <w:tblPrEx>
          <w:tblLayout w:type="fixed"/>
          <w:tblCellMar>
            <w:top w:w="0" w:type="dxa"/>
            <w:left w:w="0" w:type="dxa"/>
            <w:bottom w:w="0" w:type="dxa"/>
            <w:right w:w="0" w:type="dxa"/>
          </w:tblCellMar>
        </w:tblPrEx>
        <w:trPr>
          <w:trHeight w:val="759" w:hRule="atLeast"/>
          <w:jc w:val="center"/>
        </w:trPr>
        <w:tc>
          <w:tcPr>
            <w:tcW w:w="877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jc w:val="left"/>
              <w:textAlignment w:val="center"/>
              <w:rPr>
                <w:rFonts w:ascii="仿宋_GB2312" w:hAnsi="宋体" w:cs="仿宋_GB2312"/>
                <w:color w:val="000000"/>
                <w:kern w:val="0"/>
                <w:szCs w:val="32"/>
              </w:rPr>
            </w:pPr>
            <w:r>
              <w:rPr>
                <w:rFonts w:ascii="仿宋_GB2312" w:hAnsi="宋体" w:cs="仿宋_GB2312"/>
                <w:color w:val="000000"/>
                <w:kern w:val="0"/>
                <w:szCs w:val="32"/>
                <w:lang w:val="en-US"/>
              </w:rPr>
              <w:t>申报类别:</w:t>
            </w:r>
          </w:p>
        </w:tc>
      </w:tr>
      <w:tr>
        <w:tblPrEx>
          <w:tblLayout w:type="fixed"/>
          <w:tblCellMar>
            <w:top w:w="0" w:type="dxa"/>
            <w:left w:w="0" w:type="dxa"/>
            <w:bottom w:w="0" w:type="dxa"/>
            <w:right w:w="0" w:type="dxa"/>
          </w:tblCellMar>
        </w:tblPrEx>
        <w:trPr>
          <w:trHeight w:val="759" w:hRule="atLeast"/>
          <w:jc w:val="center"/>
        </w:trPr>
        <w:tc>
          <w:tcPr>
            <w:tcW w:w="8775" w:type="dxa"/>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jc w:val="left"/>
              <w:textAlignment w:val="center"/>
              <w:rPr>
                <w:rFonts w:hint="default" w:ascii="仿宋_GB2312" w:hAnsi="宋体" w:eastAsia="仿宋_GB2312" w:cs="仿宋_GB2312"/>
                <w:color w:val="000000"/>
                <w:kern w:val="0"/>
                <w:szCs w:val="32"/>
                <w:lang w:val="en-US" w:eastAsia="zh-CN"/>
              </w:rPr>
            </w:pPr>
            <w:r>
              <w:rPr>
                <w:rFonts w:hint="eastAsia" w:ascii="仿宋_GB2312" w:hAnsi="宋体" w:cs="仿宋_GB2312"/>
                <w:color w:val="000000"/>
                <w:kern w:val="0"/>
                <w:szCs w:val="32"/>
                <w:lang w:val="en-US" w:eastAsia="zh-CN"/>
              </w:rPr>
              <w:t>联系人：              联系电话：</w:t>
            </w:r>
          </w:p>
        </w:tc>
      </w:tr>
      <w:tr>
        <w:tblPrEx>
          <w:tblLayout w:type="fixed"/>
          <w:tblCellMar>
            <w:top w:w="0" w:type="dxa"/>
            <w:left w:w="0" w:type="dxa"/>
            <w:bottom w:w="0" w:type="dxa"/>
            <w:right w:w="0" w:type="dxa"/>
          </w:tblCellMar>
        </w:tblPrEx>
        <w:trPr>
          <w:trHeight w:val="1600" w:hRule="atLeast"/>
          <w:jc w:val="center"/>
        </w:trPr>
        <w:tc>
          <w:tcPr>
            <w:tcW w:w="292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left="0" w:leftChars="0" w:firstLine="0" w:firstLineChars="0"/>
              <w:jc w:val="center"/>
              <w:textAlignment w:val="center"/>
              <w:rPr>
                <w:rFonts w:hint="eastAsia" w:ascii="仿宋_GB2312" w:hAnsi="宋体" w:cs="仿宋_GB2312"/>
                <w:color w:val="000000"/>
                <w:szCs w:val="32"/>
              </w:rPr>
            </w:pPr>
            <w:r>
              <w:rPr>
                <w:rFonts w:hint="eastAsia" w:ascii="仿宋_GB2312" w:hAnsi="宋体" w:cs="仿宋_GB2312"/>
                <w:color w:val="000000"/>
                <w:szCs w:val="32"/>
              </w:rPr>
              <w:t>年度产值（制造业）\</w:t>
            </w:r>
          </w:p>
          <w:p>
            <w:pPr>
              <w:widowControl/>
              <w:ind w:left="0" w:leftChars="0" w:firstLine="0" w:firstLineChars="0"/>
              <w:jc w:val="center"/>
              <w:textAlignment w:val="center"/>
              <w:rPr>
                <w:rFonts w:ascii="仿宋_GB2312" w:hAnsi="宋体" w:cs="仿宋_GB2312"/>
                <w:color w:val="000000"/>
                <w:szCs w:val="32"/>
              </w:rPr>
            </w:pPr>
            <w:r>
              <w:rPr>
                <w:rFonts w:hint="eastAsia" w:ascii="仿宋_GB2312" w:hAnsi="宋体" w:cs="仿宋_GB2312"/>
                <w:color w:val="000000"/>
                <w:szCs w:val="32"/>
              </w:rPr>
              <w:t>年度营业收入（软件信息业）</w:t>
            </w:r>
          </w:p>
        </w:tc>
        <w:tc>
          <w:tcPr>
            <w:tcW w:w="29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0" w:leftChars="0" w:firstLine="0" w:firstLineChars="0"/>
              <w:jc w:val="center"/>
              <w:textAlignment w:val="center"/>
              <w:rPr>
                <w:rFonts w:ascii="仿宋_GB2312" w:hAnsi="宋体" w:cs="仿宋_GB2312"/>
                <w:color w:val="000000"/>
                <w:szCs w:val="32"/>
              </w:rPr>
            </w:pPr>
            <w:r>
              <w:rPr>
                <w:rFonts w:ascii="仿宋_GB2312" w:hAnsi="宋体" w:cs="仿宋_GB2312"/>
                <w:color w:val="000000"/>
                <w:szCs w:val="32"/>
                <w:lang w:val="en-US"/>
              </w:rPr>
              <w:t>2023年</w:t>
            </w:r>
          </w:p>
        </w:tc>
        <w:tc>
          <w:tcPr>
            <w:tcW w:w="29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0" w:leftChars="0" w:firstLine="0" w:firstLineChars="0"/>
              <w:jc w:val="center"/>
              <w:textAlignment w:val="center"/>
              <w:rPr>
                <w:rFonts w:ascii="仿宋_GB2312" w:hAnsi="宋体" w:cs="仿宋_GB2312"/>
                <w:color w:val="000000"/>
                <w:szCs w:val="32"/>
              </w:rPr>
            </w:pPr>
            <w:r>
              <w:rPr>
                <w:rFonts w:ascii="仿宋_GB2312" w:hAnsi="宋体" w:cs="仿宋_GB2312"/>
                <w:color w:val="000000"/>
                <w:szCs w:val="32"/>
                <w:lang w:val="en-US"/>
              </w:rPr>
              <w:t>2022年</w:t>
            </w:r>
          </w:p>
        </w:tc>
      </w:tr>
      <w:tr>
        <w:tblPrEx>
          <w:tblLayout w:type="fixed"/>
          <w:tblCellMar>
            <w:top w:w="0" w:type="dxa"/>
            <w:left w:w="0" w:type="dxa"/>
            <w:bottom w:w="0" w:type="dxa"/>
            <w:right w:w="0" w:type="dxa"/>
          </w:tblCellMar>
        </w:tblPrEx>
        <w:trPr>
          <w:trHeight w:val="1737" w:hRule="atLeast"/>
          <w:jc w:val="center"/>
        </w:trPr>
        <w:tc>
          <w:tcPr>
            <w:tcW w:w="2925"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ind w:left="0" w:leftChars="0" w:firstLine="0" w:firstLineChars="0"/>
              <w:jc w:val="left"/>
              <w:textAlignment w:val="center"/>
              <w:rPr>
                <w:rFonts w:ascii="仿宋_GB2312" w:hAnsi="宋体" w:cs="仿宋_GB2312"/>
                <w:color w:val="000000"/>
                <w:szCs w:val="32"/>
              </w:rPr>
            </w:pPr>
          </w:p>
        </w:tc>
        <w:tc>
          <w:tcPr>
            <w:tcW w:w="292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0" w:leftChars="0" w:firstLine="0" w:firstLineChars="0"/>
              <w:jc w:val="left"/>
              <w:textAlignment w:val="center"/>
              <w:rPr>
                <w:rFonts w:ascii="仿宋_GB2312" w:hAnsi="宋体" w:cs="仿宋_GB2312"/>
                <w:color w:val="000000"/>
                <w:szCs w:val="32"/>
              </w:rPr>
            </w:pPr>
          </w:p>
        </w:tc>
        <w:tc>
          <w:tcPr>
            <w:tcW w:w="29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left="0" w:leftChars="0" w:firstLine="0" w:firstLineChars="0"/>
              <w:jc w:val="left"/>
              <w:textAlignment w:val="center"/>
              <w:rPr>
                <w:rFonts w:ascii="仿宋_GB2312" w:hAnsi="宋体" w:cs="仿宋_GB2312"/>
                <w:color w:val="000000"/>
                <w:szCs w:val="32"/>
              </w:rPr>
            </w:pPr>
          </w:p>
        </w:tc>
      </w:tr>
      <w:tr>
        <w:tblPrEx>
          <w:tblLayout w:type="fixed"/>
          <w:tblCellMar>
            <w:top w:w="0" w:type="dxa"/>
            <w:left w:w="0" w:type="dxa"/>
            <w:bottom w:w="0" w:type="dxa"/>
            <w:right w:w="0" w:type="dxa"/>
          </w:tblCellMar>
        </w:tblPrEx>
        <w:trPr>
          <w:trHeight w:val="2343" w:hRule="atLeast"/>
          <w:jc w:val="center"/>
        </w:trPr>
        <w:tc>
          <w:tcPr>
            <w:tcW w:w="4857" w:type="dxa"/>
            <w:gridSpan w:val="2"/>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tcPr>
          <w:p>
            <w:pPr>
              <w:widowControl/>
              <w:ind w:firstLine="0" w:firstLineChars="0"/>
              <w:jc w:val="both"/>
              <w:textAlignment w:val="center"/>
              <w:rPr>
                <w:rFonts w:hint="eastAsia" w:ascii="仿宋_GB2312" w:hAnsi="宋体" w:cs="仿宋_GB2312"/>
                <w:color w:val="000000"/>
                <w:kern w:val="0"/>
                <w:szCs w:val="32"/>
              </w:rPr>
            </w:pPr>
            <w:r>
              <w:rPr>
                <w:rFonts w:hint="eastAsia" w:ascii="仿宋_GB2312" w:hAnsi="宋体" w:cs="仿宋_GB2312"/>
                <w:color w:val="000000"/>
                <w:kern w:val="0"/>
                <w:szCs w:val="32"/>
              </w:rPr>
              <w:t>镇（街道、园区）经发部门</w:t>
            </w:r>
          </w:p>
          <w:p>
            <w:pPr>
              <w:widowControl/>
              <w:ind w:firstLine="0" w:firstLineChars="0"/>
              <w:jc w:val="both"/>
              <w:textAlignment w:val="center"/>
              <w:rPr>
                <w:rFonts w:ascii="仿宋_GB2312" w:hAnsi="宋体" w:cs="仿宋_GB2312"/>
                <w:color w:val="000000"/>
                <w:szCs w:val="32"/>
              </w:rPr>
            </w:pPr>
            <w:r>
              <w:rPr>
                <w:rFonts w:hint="eastAsia" w:ascii="仿宋_GB2312" w:hAnsi="宋体" w:cs="仿宋_GB2312"/>
                <w:color w:val="000000"/>
                <w:kern w:val="0"/>
                <w:szCs w:val="32"/>
              </w:rPr>
              <w:t>核实意见:</w:t>
            </w:r>
          </w:p>
        </w:tc>
        <w:tc>
          <w:tcPr>
            <w:tcW w:w="3918" w:type="dxa"/>
            <w:gridSpan w:val="2"/>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pPr>
              <w:widowControl/>
              <w:ind w:firstLine="640"/>
              <w:jc w:val="left"/>
              <w:textAlignment w:val="center"/>
            </w:pPr>
            <w:r>
              <w:rPr>
                <w:lang w:val="en-US"/>
              </w:rPr>
              <w:t xml:space="preserve">  </w:t>
            </w:r>
            <w:r>
              <w:rPr>
                <w:rFonts w:hint="eastAsia"/>
                <w:lang w:val="en-US" w:eastAsia="zh-CN"/>
              </w:rPr>
              <w:t xml:space="preserve">    </w:t>
            </w:r>
            <w:r>
              <w:rPr>
                <w:lang w:val="en-US"/>
              </w:rPr>
              <w:t xml:space="preserve"> </w:t>
            </w:r>
            <w:r>
              <w:t>（盖章）</w:t>
            </w:r>
          </w:p>
          <w:p>
            <w:pPr>
              <w:pStyle w:val="2"/>
              <w:ind w:firstLine="1280" w:firstLineChars="400"/>
            </w:pPr>
            <w:r>
              <w:rPr>
                <w:rFonts w:hint="eastAsia"/>
              </w:rPr>
              <w:t>年   月   日</w:t>
            </w:r>
          </w:p>
        </w:tc>
      </w:tr>
    </w:tbl>
    <w:p>
      <w:pPr>
        <w:pStyle w:val="2"/>
      </w:pPr>
    </w:p>
    <w:sectPr>
      <w:footerReference r:id="rId4" w:type="default"/>
      <w:pgSz w:w="11906" w:h="16838"/>
      <w:pgMar w:top="2098" w:right="1474" w:bottom="1985" w:left="1588" w:header="851" w:footer="1361" w:gutter="0"/>
      <w:cols w:space="425" w:num="1"/>
      <w:docGrid w:type="lines" w:linePitch="573" w:charSpace="-184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4153"/>
        <w:tab w:val="clear" w:pos="8306"/>
      </w:tabs>
      <w:ind w:left="350" w:right="360" w:firstLine="560"/>
      <w:jc w:val="right"/>
    </w:pPr>
    <w:r>
      <w:rPr>
        <w:rStyle w:val="9"/>
        <w:rFonts w:hint="eastAsia"/>
      </w:rPr>
      <w:t>－</w:t>
    </w:r>
    <w:r>
      <w:rPr>
        <w:rStyle w:val="9"/>
      </w:rPr>
      <w:fldChar w:fldCharType="begin"/>
    </w:r>
    <w:r>
      <w:rPr>
        <w:rStyle w:val="9"/>
      </w:rPr>
      <w:instrText xml:space="preserve"> PAGE </w:instrText>
    </w:r>
    <w:r>
      <w:rPr>
        <w:rStyle w:val="9"/>
      </w:rPr>
      <w:fldChar w:fldCharType="separate"/>
    </w:r>
    <w:r>
      <w:rPr>
        <w:rStyle w:val="9"/>
      </w:rPr>
      <w:t>4</w:t>
    </w:r>
    <w:r>
      <w:rPr>
        <w:rStyle w:val="9"/>
      </w:rPr>
      <w:fldChar w:fldCharType="end"/>
    </w:r>
    <w:r>
      <w:rPr>
        <w:rStyle w:val="9"/>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4153"/>
        <w:tab w:val="clear" w:pos="8306"/>
      </w:tabs>
      <w:ind w:left="350" w:right="360" w:firstLine="560"/>
      <w:jc w:val="right"/>
    </w:pPr>
    <w:r>
      <w:rPr>
        <w:rStyle w:val="9"/>
        <w:rFonts w:hint="eastAsia"/>
      </w:rPr>
      <w:t>－</w:t>
    </w:r>
    <w:r>
      <w:rPr>
        <w:rStyle w:val="9"/>
      </w:rPr>
      <w:fldChar w:fldCharType="begin"/>
    </w:r>
    <w:r>
      <w:rPr>
        <w:rStyle w:val="9"/>
      </w:rPr>
      <w:instrText xml:space="preserve"> PAGE </w:instrText>
    </w:r>
    <w:r>
      <w:rPr>
        <w:rStyle w:val="9"/>
      </w:rPr>
      <w:fldChar w:fldCharType="separate"/>
    </w:r>
    <w:r>
      <w:rPr>
        <w:rStyle w:val="9"/>
      </w:rPr>
      <w:t>4</w:t>
    </w:r>
    <w:r>
      <w:rPr>
        <w:rStyle w:val="9"/>
      </w:rPr>
      <w:fldChar w:fldCharType="end"/>
    </w:r>
    <w:r>
      <w:rPr>
        <w:rStyle w:val="9"/>
        <w:rFonts w:hint="eastAsia"/>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267F4"/>
    <w:rsid w:val="20355CDE"/>
    <w:rsid w:val="27B00DB4"/>
    <w:rsid w:val="59E838F4"/>
    <w:rsid w:val="6B4F1AB6"/>
    <w:rsid w:val="6E9C1073"/>
    <w:rsid w:val="71080FB5"/>
    <w:rsid w:val="78597975"/>
    <w:rsid w:val="B7DBFDE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52" w:lineRule="exact"/>
      <w:ind w:firstLine="200" w:firstLineChars="200"/>
      <w:jc w:val="both"/>
    </w:pPr>
    <w:rPr>
      <w:rFonts w:ascii="Times New Roman" w:hAnsi="Times New Roman" w:eastAsia="仿宋_GB2312" w:cs="Times New Roman"/>
      <w:kern w:val="2"/>
      <w:sz w:val="3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2"/>
    <w:basedOn w:val="1"/>
    <w:next w:val="5"/>
    <w:qFormat/>
    <w:uiPriority w:val="0"/>
    <w:pPr>
      <w:keepNext/>
      <w:keepLines/>
      <w:outlineLvl w:val="1"/>
    </w:pPr>
    <w:rPr>
      <w:rFonts w:ascii="Arial" w:hAnsi="Arial" w:eastAsia="黑体"/>
    </w:rPr>
  </w:style>
  <w:style w:type="character" w:default="1" w:styleId="8">
    <w:name w:val="Default Paragraph Font"/>
    <w:qFormat/>
    <w:uiPriority w:val="1"/>
  </w:style>
  <w:style w:type="table" w:default="1" w:styleId="11">
    <w:name w:val="Normal Table"/>
    <w:qFormat/>
    <w:uiPriority w:val="99"/>
    <w:tblPr>
      <w:tblLayout w:type="fixed"/>
      <w:tblCellMar>
        <w:top w:w="0" w:type="dxa"/>
        <w:left w:w="108" w:type="dxa"/>
        <w:bottom w:w="0" w:type="dxa"/>
        <w:right w:w="108" w:type="dxa"/>
      </w:tblCellMar>
    </w:tblPr>
  </w:style>
  <w:style w:type="paragraph" w:styleId="2">
    <w:name w:val="endnote text"/>
    <w:basedOn w:val="1"/>
    <w:qFormat/>
    <w:uiPriority w:val="99"/>
    <w:pPr>
      <w:snapToGrid w:val="0"/>
      <w:jc w:val="left"/>
    </w:pPr>
  </w:style>
  <w:style w:type="paragraph" w:styleId="5">
    <w:name w:val="Normal Indent"/>
    <w:basedOn w:val="1"/>
    <w:qFormat/>
    <w:uiPriority w:val="0"/>
    <w:pPr>
      <w:ind w:firstLine="630"/>
    </w:pPr>
    <w:rPr>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Subtitle"/>
    <w:basedOn w:val="1"/>
    <w:next w:val="1"/>
    <w:link w:val="20"/>
    <w:qFormat/>
    <w:uiPriority w:val="0"/>
    <w:pPr>
      <w:spacing w:before="240" w:after="60" w:line="312" w:lineRule="atLeast"/>
      <w:jc w:val="center"/>
      <w:outlineLvl w:val="1"/>
    </w:pPr>
    <w:rPr>
      <w:rFonts w:ascii="Calibri" w:hAnsi="Calibri" w:eastAsia="宋体" w:cs="宋体"/>
      <w:b/>
      <w:bCs/>
      <w:kern w:val="28"/>
      <w:szCs w:val="32"/>
    </w:rPr>
  </w:style>
  <w:style w:type="character" w:styleId="9">
    <w:name w:val="page number"/>
    <w:qFormat/>
    <w:uiPriority w:val="0"/>
    <w:rPr>
      <w:rFonts w:eastAsia="宋体"/>
      <w:sz w:val="28"/>
    </w:rPr>
  </w:style>
  <w:style w:type="character" w:styleId="10">
    <w:name w:val="Emphasis"/>
    <w:qFormat/>
    <w:uiPriority w:val="20"/>
    <w:rPr>
      <w:rFonts w:eastAsia="楷体_GB2312"/>
      <w:b/>
      <w:iCs/>
      <w:sz w:val="32"/>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styleId="13">
    <w:name w:val="Medium Grid 3"/>
    <w:basedOn w:val="11"/>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C0C0C0"/>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000000"/>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14">
    <w:name w:val="Medium Grid 3 Accent 1"/>
    <w:basedOn w:val="11"/>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D3DFEE"/>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4F81BD"/>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15">
    <w:name w:val="Medium Grid 3 Accent 2"/>
    <w:basedOn w:val="11"/>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EFD3D2"/>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C0504D"/>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16">
    <w:name w:val="Medium Grid 3 Accent 3"/>
    <w:basedOn w:val="11"/>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E6EED5"/>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9BBB59"/>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17">
    <w:name w:val="Medium Grid 3 Accent 4"/>
    <w:basedOn w:val="11"/>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DFD8E8"/>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8064A2"/>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18">
    <w:name w:val="Medium Grid 3 Accent 5"/>
    <w:basedOn w:val="11"/>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D2EAF1"/>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4BACC6"/>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19">
    <w:name w:val="Medium Grid 3 Accent 6"/>
    <w:basedOn w:val="11"/>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Layout w:type="fixed"/>
      <w:tblCellMar>
        <w:top w:w="0" w:type="dxa"/>
        <w:left w:w="108" w:type="dxa"/>
        <w:bottom w:w="0" w:type="dxa"/>
        <w:right w:w="108" w:type="dxa"/>
      </w:tblCellMar>
    </w:tblPr>
    <w:tcPr>
      <w:shd w:val="clear" w:color="auto" w:fill="FDE4D0"/>
    </w:tcPr>
    <w:tblStylePr w:type="firstRow">
      <w:rPr>
        <w:b/>
        <w:bCs/>
        <w:i w:val="0"/>
        <w:iCs w:val="0"/>
        <w:color w:val="CCE8CF"/>
      </w:rPr>
      <w:tblPr>
        <w:tblLayout w:type="fixed"/>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blLayout w:type="fixed"/>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blLayout w:type="fixed"/>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blLayout w:type="fixed"/>
      </w:tblPr>
      <w:tcPr>
        <w:tcBorders>
          <w:top w:val="nil"/>
          <w:left w:val="single" w:color="CCE8CF" w:sz="24" w:space="0"/>
          <w:bottom w:val="nil"/>
          <w:right w:val="nil"/>
          <w:insideH w:val="nil"/>
          <w:insideV w:val="nil"/>
        </w:tcBorders>
        <w:shd w:val="clear" w:color="auto" w:fill="F79646"/>
      </w:tcPr>
    </w:tblStylePr>
    <w:tblStylePr w:type="band1Vert">
      <w:tblPr>
        <w:tblLayout w:type="fixed"/>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blLayout w:type="fixed"/>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customStyle="1" w:styleId="20">
    <w:name w:val="副标题 字符"/>
    <w:basedOn w:val="8"/>
    <w:link w:val="7"/>
    <w:qFormat/>
    <w:uiPriority w:val="0"/>
    <w:rPr>
      <w:rFonts w:ascii="Calibri" w:hAnsi="Calibri" w:eastAsia="宋体" w:cs="宋体"/>
      <w:b/>
      <w:bCs/>
      <w:kern w:val="28"/>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DoubleOX</Company>
  <Pages>4</Pages>
  <Words>733</Words>
  <Characters>767</Characters>
  <Paragraphs>47</Paragraphs>
  <TotalTime>3</TotalTime>
  <ScaleCrop>false</ScaleCrop>
  <LinksUpToDate>false</LinksUpToDate>
  <CharactersWithSpaces>793</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2021-06-23T06:04:00Z</dcterms:created>
  <dc:creator>Administrator</dc:creator>
  <cp:lastModifiedBy>WpsUser</cp:lastModifiedBy>
  <cp:lastPrinted>2022-07-19T06:50:00Z</cp:lastPrinted>
  <dcterms:modified xsi:type="dcterms:W3CDTF">2023-11-15T08:39:22Z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