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2021</w:t>
      </w:r>
      <w:r>
        <w:rPr>
          <w:rFonts w:hint="eastAsia" w:ascii="方正小标宋简体" w:hAnsi="方正小标宋简体" w:eastAsia="方正小标宋简体" w:cs="方正小标宋简体"/>
          <w:sz w:val="44"/>
          <w:szCs w:val="44"/>
        </w:rPr>
        <w:t>年慈溪市人民政府房屋征收管理</w:t>
      </w:r>
      <w:r>
        <w:rPr>
          <w:rFonts w:hint="eastAsia" w:ascii="方正小标宋简体" w:hAnsi="方正小标宋简体" w:eastAsia="方正小标宋简体" w:cs="方正小标宋简体"/>
          <w:sz w:val="44"/>
          <w:szCs w:val="44"/>
          <w:lang w:val="en-US" w:eastAsia="zh-CN"/>
        </w:rPr>
        <w:t>办公</w:t>
      </w:r>
      <w:r>
        <w:rPr>
          <w:rFonts w:hint="eastAsia" w:ascii="方正小标宋简体" w:hAnsi="方正小标宋简体" w:eastAsia="方正小标宋简体" w:cs="方正小标宋简体"/>
          <w:sz w:val="44"/>
          <w:szCs w:val="44"/>
        </w:rPr>
        <w:t>室信息公开工作年度报告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本年度报告根据《中华人民共和国政府信息公开条例》（以下简称《条例》）要求，结合本单位政府信息公开工作情况编制而成。年报由总体情况、主动公开政府信息情况、收到和处理政府信息公开申请情况、政府信息公开行政复议、行政诉讼情况、存在的主要问题及改进情况、其他需要报告的事项等六个部分组成，并附相关数据统计。本年报中所列数据统计期限自2021年1月1日至2021年12月31日止。本年报的电子版可在“慈溪市人民政府网政府信息公开年报专栏下载”</w:t>
      </w:r>
      <w:bookmarkStart w:id="0" w:name="_GoBack"/>
      <w:bookmarkEnd w:id="0"/>
      <w:r>
        <w:rPr>
          <w:rFonts w:hint="eastAsia" w:ascii="仿宋_GB2312" w:hAnsi="仿宋_GB2312" w:eastAsia="仿宋_GB2312" w:cs="仿宋_GB2312"/>
          <w:b w:val="0"/>
          <w:bCs w:val="0"/>
          <w:sz w:val="32"/>
          <w:szCs w:val="32"/>
          <w:lang w:val="en-US" w:eastAsia="zh-CN"/>
        </w:rPr>
        <w:t>（http://www.cixi.gov.cn/col/col1229432712/index.html）</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一、总体情况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2021年，慈溪市人民政府房屋征收管理办公室以习近平新时代中国特色社会主义思想为指导，在市府办政务公开科的细心指导下，认真贯彻落实《中华人民共和国政府信息公开条例》等上级部署要求，由政策法规科作为牵头科室，指导督促业务科室及下属单位市房屋征收所，积极开展房屋征迁领域政府信息公开工作，整体进展顺利，发布信息准确及时。具体工作开展情况如下：</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10" w:leftChars="0" w:firstLine="640" w:firstLineChars="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主动公开情况。2021年，本单位通过慈溪市人民政府网站政府信息公开平台主动公开信息100条。</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10" w:leftChars="0" w:firstLine="640" w:firstLineChars="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依申请公开情况。2021年，本单位共办结政府信息依申请公开件3件。</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10" w:leftChars="0" w:firstLine="640" w:firstLineChars="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政府信息管理情况。本单位政策法规科作为政府信息公开的责任科室，组织实施依申请公开、主动公开等工作，各业务科室协同配合，提供各自职责内的公开信息。另由专人负责公开内容的审查把关，认真落实政府信息公开长效运维管理工作，加强政府信息及时发布审核。</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10" w:leftChars="0" w:firstLine="640" w:firstLineChars="0"/>
        <w:jc w:val="left"/>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b w:val="0"/>
          <w:bCs w:val="0"/>
          <w:sz w:val="32"/>
          <w:szCs w:val="32"/>
          <w:highlight w:val="none"/>
          <w:lang w:val="en-US" w:eastAsia="zh-CN"/>
        </w:rPr>
        <w:t>平台建设情况。按照以“公开为原则，不公开为例外”的总体要求，积极开展公开信息的完善和维护工作。根据市政府信息公开情况及时更新《慈溪市人民政府房屋征收管理办公室政府信息公开指南》及栏目信息，为人民群众提供单位信息的准确查询。</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10" w:leftChars="0" w:firstLine="640" w:firstLineChars="0"/>
        <w:jc w:val="left"/>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监督保障情况。政府信息公开工作以政策法规科为主，设专人负责承办信息公开事宜、政府信息日常更新及维护。积极参加全市统一的政务公开社会评议并定期按规定发布责任追究情况，提升对信息公开队伍的教育培训和管理。通过强化责任意识，提升专业素养，严格落实政务信息公开工作等相关制度，确保信息公开工作规范有序。</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二、主动公开政府信息情况</w:t>
      </w:r>
    </w:p>
    <w:tbl>
      <w:tblPr>
        <w:tblStyle w:val="2"/>
        <w:tblW w:w="88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60"/>
        <w:gridCol w:w="2588"/>
        <w:gridCol w:w="2252"/>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8880" w:type="dxa"/>
            <w:gridSpan w:val="4"/>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第二十条第（一）项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2060" w:type="dxa"/>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信息内容</w:t>
            </w:r>
          </w:p>
        </w:tc>
        <w:tc>
          <w:tcPr>
            <w:tcW w:w="2588" w:type="dxa"/>
            <w:vAlign w:val="center"/>
          </w:tcPr>
          <w:p>
            <w:pPr>
              <w:spacing w:line="400" w:lineRule="exact"/>
              <w:jc w:val="center"/>
              <w:rPr>
                <w:rFonts w:hint="eastAsia" w:ascii="黑体" w:hAnsi="黑体" w:eastAsia="黑体" w:cs="Times New Roman"/>
                <w:sz w:val="24"/>
                <w:szCs w:val="24"/>
                <w:lang w:eastAsia="zh-CN"/>
              </w:rPr>
            </w:pPr>
            <w:r>
              <w:rPr>
                <w:rFonts w:hint="eastAsia" w:ascii="黑体" w:hAnsi="黑体" w:eastAsia="黑体" w:cs="黑体"/>
                <w:sz w:val="24"/>
                <w:szCs w:val="24"/>
              </w:rPr>
              <w:t>本年</w:t>
            </w:r>
            <w:r>
              <w:rPr>
                <w:rFonts w:hint="eastAsia" w:ascii="黑体" w:hAnsi="黑体" w:eastAsia="黑体" w:cs="黑体"/>
                <w:sz w:val="24"/>
                <w:szCs w:val="24"/>
                <w:lang w:eastAsia="zh-CN"/>
              </w:rPr>
              <w:t>制发件数</w:t>
            </w:r>
          </w:p>
        </w:tc>
        <w:tc>
          <w:tcPr>
            <w:tcW w:w="2252" w:type="dxa"/>
            <w:vAlign w:val="center"/>
          </w:tcPr>
          <w:p>
            <w:pPr>
              <w:spacing w:line="400" w:lineRule="exact"/>
              <w:jc w:val="center"/>
              <w:rPr>
                <w:rFonts w:hint="eastAsia" w:ascii="黑体" w:hAnsi="黑体" w:eastAsia="黑体" w:cs="Times New Roman"/>
                <w:sz w:val="24"/>
                <w:szCs w:val="24"/>
                <w:lang w:eastAsia="zh-CN"/>
              </w:rPr>
            </w:pPr>
            <w:r>
              <w:rPr>
                <w:rFonts w:hint="eastAsia" w:ascii="黑体" w:hAnsi="黑体" w:eastAsia="黑体" w:cs="黑体"/>
                <w:sz w:val="24"/>
                <w:szCs w:val="24"/>
              </w:rPr>
              <w:t>本年</w:t>
            </w:r>
            <w:r>
              <w:rPr>
                <w:rFonts w:hint="eastAsia" w:ascii="黑体" w:hAnsi="黑体" w:eastAsia="黑体" w:cs="黑体"/>
                <w:sz w:val="24"/>
                <w:szCs w:val="24"/>
                <w:lang w:eastAsia="zh-CN"/>
              </w:rPr>
              <w:t>废止件数</w:t>
            </w:r>
          </w:p>
        </w:tc>
        <w:tc>
          <w:tcPr>
            <w:tcW w:w="1980" w:type="dxa"/>
            <w:vAlign w:val="center"/>
          </w:tcPr>
          <w:p>
            <w:pPr>
              <w:spacing w:line="400" w:lineRule="exact"/>
              <w:jc w:val="center"/>
              <w:rPr>
                <w:rFonts w:hint="eastAsia" w:ascii="黑体" w:hAnsi="黑体" w:eastAsia="黑体" w:cs="Times New Roman"/>
                <w:sz w:val="24"/>
                <w:szCs w:val="24"/>
                <w:lang w:eastAsia="zh-CN"/>
              </w:rPr>
            </w:pPr>
            <w:r>
              <w:rPr>
                <w:rFonts w:hint="eastAsia" w:ascii="黑体" w:hAnsi="黑体" w:eastAsia="黑体" w:cs="黑体"/>
                <w:sz w:val="24"/>
                <w:szCs w:val="24"/>
                <w:lang w:eastAsia="zh-CN"/>
              </w:rPr>
              <w:t>现行有效件数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20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规章</w:t>
            </w:r>
          </w:p>
        </w:tc>
        <w:tc>
          <w:tcPr>
            <w:tcW w:w="2588"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225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198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20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lang w:eastAsia="zh-CN"/>
              </w:rPr>
              <w:t>行政</w:t>
            </w:r>
            <w:r>
              <w:rPr>
                <w:rFonts w:hint="eastAsia" w:ascii="仿宋_GB2312" w:hAnsi="仿宋_GB2312" w:eastAsia="仿宋_GB2312" w:cs="仿宋_GB2312"/>
                <w:sz w:val="24"/>
                <w:szCs w:val="24"/>
              </w:rPr>
              <w:t>规范性文件</w:t>
            </w:r>
          </w:p>
        </w:tc>
        <w:tc>
          <w:tcPr>
            <w:tcW w:w="2588"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225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198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8880" w:type="dxa"/>
            <w:gridSpan w:val="4"/>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第二十条第（五）项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2060" w:type="dxa"/>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信息内容</w:t>
            </w:r>
          </w:p>
        </w:tc>
        <w:tc>
          <w:tcPr>
            <w:tcW w:w="6820" w:type="dxa"/>
            <w:gridSpan w:val="3"/>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lang w:eastAsia="zh-CN"/>
              </w:rPr>
              <w:t>本年</w:t>
            </w:r>
            <w:r>
              <w:rPr>
                <w:rFonts w:hint="eastAsia" w:ascii="黑体" w:hAnsi="黑体" w:eastAsia="黑体" w:cs="黑体"/>
                <w:sz w:val="24"/>
                <w:szCs w:val="24"/>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20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行政许可</w:t>
            </w:r>
          </w:p>
        </w:tc>
        <w:tc>
          <w:tcPr>
            <w:tcW w:w="6820" w:type="dxa"/>
            <w:gridSpan w:val="3"/>
            <w:vAlign w:val="center"/>
          </w:tcPr>
          <w:p>
            <w:pPr>
              <w:spacing w:line="400" w:lineRule="exact"/>
              <w:jc w:val="center"/>
              <w:rPr>
                <w:rFonts w:hint="eastAsia" w:ascii="仿宋_GB2312" w:hAnsi="仿宋_GB2312" w:eastAsia="仿宋_GB2312" w:cs="Times New Roman"/>
                <w:sz w:val="24"/>
                <w:szCs w:val="24"/>
                <w:highlight w:val="yellow"/>
                <w:lang w:val="en-US" w:eastAsia="zh-CN"/>
              </w:rPr>
            </w:pPr>
            <w:r>
              <w:rPr>
                <w:rFonts w:hint="eastAsia" w:ascii="仿宋_GB2312" w:hAnsi="仿宋_GB2312" w:eastAsia="仿宋_GB2312" w:cs="Times New Roman"/>
                <w:sz w:val="24"/>
                <w:szCs w:val="24"/>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8880" w:type="dxa"/>
            <w:gridSpan w:val="4"/>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第二十条第（六）项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2060" w:type="dxa"/>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信息内容</w:t>
            </w:r>
          </w:p>
        </w:tc>
        <w:tc>
          <w:tcPr>
            <w:tcW w:w="6820" w:type="dxa"/>
            <w:gridSpan w:val="3"/>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lang w:eastAsia="zh-CN"/>
              </w:rPr>
              <w:t>本年</w:t>
            </w:r>
            <w:r>
              <w:rPr>
                <w:rFonts w:hint="eastAsia" w:ascii="黑体" w:hAnsi="黑体" w:eastAsia="黑体" w:cs="黑体"/>
                <w:sz w:val="24"/>
                <w:szCs w:val="24"/>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20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行政处罚</w:t>
            </w:r>
          </w:p>
        </w:tc>
        <w:tc>
          <w:tcPr>
            <w:tcW w:w="6820" w:type="dxa"/>
            <w:gridSpan w:val="3"/>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20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行政强制</w:t>
            </w:r>
          </w:p>
        </w:tc>
        <w:tc>
          <w:tcPr>
            <w:tcW w:w="6820" w:type="dxa"/>
            <w:gridSpan w:val="3"/>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8880" w:type="dxa"/>
            <w:gridSpan w:val="4"/>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第二十条第（八）项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2060" w:type="dxa"/>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信息内容</w:t>
            </w:r>
          </w:p>
        </w:tc>
        <w:tc>
          <w:tcPr>
            <w:tcW w:w="6820" w:type="dxa"/>
            <w:gridSpan w:val="3"/>
            <w:vAlign w:val="center"/>
          </w:tcPr>
          <w:p>
            <w:pPr>
              <w:spacing w:line="400" w:lineRule="exact"/>
              <w:jc w:val="center"/>
              <w:rPr>
                <w:rFonts w:hint="eastAsia" w:ascii="黑体" w:hAnsi="黑体" w:eastAsia="黑体" w:cs="Times New Roman"/>
                <w:sz w:val="24"/>
                <w:szCs w:val="24"/>
                <w:lang w:eastAsia="zh-CN"/>
              </w:rPr>
            </w:pPr>
            <w:r>
              <w:rPr>
                <w:rFonts w:hint="eastAsia" w:ascii="黑体" w:hAnsi="黑体" w:eastAsia="黑体" w:cs="黑体"/>
                <w:sz w:val="24"/>
                <w:szCs w:val="24"/>
                <w:lang w:eastAsia="zh-CN"/>
              </w:rPr>
              <w:t>本年收费金额（单位：万元）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trPr>
        <w:tc>
          <w:tcPr>
            <w:tcW w:w="20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行政事业性收费</w:t>
            </w:r>
          </w:p>
        </w:tc>
        <w:tc>
          <w:tcPr>
            <w:tcW w:w="6820" w:type="dxa"/>
            <w:gridSpan w:val="3"/>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bl>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三、收到和处理政府信息公开申请情况</w:t>
      </w:r>
    </w:p>
    <w:tbl>
      <w:tblPr>
        <w:tblStyle w:val="2"/>
        <w:tblW w:w="89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9"/>
        <w:gridCol w:w="1080"/>
        <w:gridCol w:w="2028"/>
        <w:gridCol w:w="696"/>
        <w:gridCol w:w="772"/>
        <w:gridCol w:w="705"/>
        <w:gridCol w:w="925"/>
        <w:gridCol w:w="735"/>
        <w:gridCol w:w="460"/>
        <w:gridCol w:w="5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7" w:type="dxa"/>
            <w:gridSpan w:val="3"/>
            <w:vMerge w:val="restart"/>
            <w:vAlign w:val="center"/>
          </w:tcPr>
          <w:p>
            <w:pPr>
              <w:spacing w:line="400" w:lineRule="exact"/>
              <w:rPr>
                <w:rFonts w:ascii="宋体" w:eastAsia="宋体" w:cs="Times New Roman"/>
                <w:sz w:val="18"/>
                <w:szCs w:val="18"/>
              </w:rPr>
            </w:pPr>
            <w:r>
              <w:rPr>
                <w:rFonts w:hint="eastAsia" w:ascii="仿宋_GB2312" w:hAnsi="仿宋_GB2312" w:eastAsia="仿宋_GB2312" w:cs="仿宋_GB2312"/>
                <w:sz w:val="24"/>
                <w:szCs w:val="24"/>
              </w:rPr>
              <w:t>（本列数据的勾稽关系为：第一项加第二项之和，等于第三项加第四项之和）</w:t>
            </w:r>
          </w:p>
        </w:tc>
        <w:tc>
          <w:tcPr>
            <w:tcW w:w="4812" w:type="dxa"/>
            <w:gridSpan w:val="7"/>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申请人情况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7" w:type="dxa"/>
            <w:gridSpan w:val="3"/>
            <w:vMerge w:val="continue"/>
            <w:vAlign w:val="center"/>
          </w:tcPr>
          <w:p>
            <w:pPr>
              <w:spacing w:line="400" w:lineRule="exact"/>
              <w:rPr>
                <w:rFonts w:ascii="宋体" w:eastAsia="宋体" w:cs="Times New Roman"/>
                <w:sz w:val="18"/>
                <w:szCs w:val="18"/>
              </w:rPr>
            </w:pPr>
          </w:p>
        </w:tc>
        <w:tc>
          <w:tcPr>
            <w:tcW w:w="696" w:type="dxa"/>
            <w:vMerge w:val="restart"/>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自然人</w:t>
            </w:r>
          </w:p>
        </w:tc>
        <w:tc>
          <w:tcPr>
            <w:tcW w:w="3597" w:type="dxa"/>
            <w:gridSpan w:val="5"/>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法人或其他组织</w:t>
            </w:r>
          </w:p>
        </w:tc>
        <w:tc>
          <w:tcPr>
            <w:tcW w:w="519" w:type="dxa"/>
            <w:vMerge w:val="restart"/>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5" w:hRule="atLeast"/>
          <w:jc w:val="center"/>
        </w:trPr>
        <w:tc>
          <w:tcPr>
            <w:tcW w:w="4107" w:type="dxa"/>
            <w:gridSpan w:val="3"/>
            <w:vMerge w:val="continue"/>
            <w:vAlign w:val="center"/>
          </w:tcPr>
          <w:p>
            <w:pPr>
              <w:spacing w:line="400" w:lineRule="exact"/>
              <w:rPr>
                <w:rFonts w:ascii="宋体" w:eastAsia="宋体" w:cs="Times New Roman"/>
                <w:sz w:val="18"/>
                <w:szCs w:val="18"/>
              </w:rPr>
            </w:pPr>
          </w:p>
        </w:tc>
        <w:tc>
          <w:tcPr>
            <w:tcW w:w="696" w:type="dxa"/>
            <w:vMerge w:val="continue"/>
            <w:vAlign w:val="center"/>
          </w:tcPr>
          <w:p>
            <w:pPr>
              <w:spacing w:line="400" w:lineRule="exact"/>
              <w:rPr>
                <w:rFonts w:ascii="黑体" w:hAnsi="黑体" w:eastAsia="黑体" w:cs="Times New Roman"/>
                <w:sz w:val="24"/>
                <w:szCs w:val="24"/>
              </w:rPr>
            </w:pPr>
          </w:p>
        </w:tc>
        <w:tc>
          <w:tcPr>
            <w:tcW w:w="772" w:type="dxa"/>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商业企业</w:t>
            </w:r>
          </w:p>
        </w:tc>
        <w:tc>
          <w:tcPr>
            <w:tcW w:w="705" w:type="dxa"/>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科研机构</w:t>
            </w:r>
          </w:p>
        </w:tc>
        <w:tc>
          <w:tcPr>
            <w:tcW w:w="925" w:type="dxa"/>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社会公益组织</w:t>
            </w:r>
          </w:p>
        </w:tc>
        <w:tc>
          <w:tcPr>
            <w:tcW w:w="735" w:type="dxa"/>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法律服务机构</w:t>
            </w:r>
          </w:p>
        </w:tc>
        <w:tc>
          <w:tcPr>
            <w:tcW w:w="460" w:type="dxa"/>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其他</w:t>
            </w:r>
          </w:p>
        </w:tc>
        <w:tc>
          <w:tcPr>
            <w:tcW w:w="519" w:type="dxa"/>
            <w:vMerge w:val="continue"/>
            <w:vAlign w:val="center"/>
          </w:tcPr>
          <w:p>
            <w:pPr>
              <w:spacing w:line="400" w:lineRule="exact"/>
              <w:rPr>
                <w:rFonts w:ascii="黑体" w:hAnsi="黑体" w:eastAsia="黑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4107" w:type="dxa"/>
            <w:gridSpan w:val="3"/>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一</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本年新收到政府信息公开申请数量</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3</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4107" w:type="dxa"/>
            <w:gridSpan w:val="3"/>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二</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上年结转政府信息公开申请数量</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restart"/>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三、本年度办理结果</w:t>
            </w:r>
          </w:p>
        </w:tc>
        <w:tc>
          <w:tcPr>
            <w:tcW w:w="3108" w:type="dxa"/>
            <w:gridSpan w:val="2"/>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（一）予以公开</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3108" w:type="dxa"/>
            <w:gridSpan w:val="2"/>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（二）部分公开（区分处理的，只计这一情形，不计其他情形）</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restart"/>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（三）不予公开</w:t>
            </w: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属于国家秘密</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其他法律行政法规禁止公开</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危及“三安全一稳定”</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4.</w:t>
            </w:r>
            <w:r>
              <w:rPr>
                <w:rFonts w:hint="eastAsia" w:ascii="仿宋_GB2312" w:hAnsi="仿宋_GB2312" w:eastAsia="仿宋_GB2312" w:cs="仿宋_GB2312"/>
                <w:sz w:val="24"/>
                <w:szCs w:val="24"/>
              </w:rPr>
              <w:t>保护第三方合法权益</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5.</w:t>
            </w:r>
            <w:r>
              <w:rPr>
                <w:rFonts w:hint="eastAsia" w:ascii="仿宋_GB2312" w:hAnsi="仿宋_GB2312" w:eastAsia="仿宋_GB2312" w:cs="仿宋_GB2312"/>
                <w:sz w:val="24"/>
                <w:szCs w:val="24"/>
              </w:rPr>
              <w:t>属于三类内部事务信息</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6.</w:t>
            </w:r>
            <w:r>
              <w:rPr>
                <w:rFonts w:hint="eastAsia" w:ascii="仿宋_GB2312" w:hAnsi="仿宋_GB2312" w:eastAsia="仿宋_GB2312" w:cs="仿宋_GB2312"/>
                <w:sz w:val="24"/>
                <w:szCs w:val="24"/>
              </w:rPr>
              <w:t>属于四类过程性信息</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7.</w:t>
            </w:r>
            <w:r>
              <w:rPr>
                <w:rFonts w:hint="eastAsia" w:ascii="仿宋_GB2312" w:hAnsi="仿宋_GB2312" w:eastAsia="仿宋_GB2312" w:cs="仿宋_GB2312"/>
                <w:sz w:val="24"/>
                <w:szCs w:val="24"/>
              </w:rPr>
              <w:t>属于行政执法案卷</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8.</w:t>
            </w:r>
            <w:r>
              <w:rPr>
                <w:rFonts w:hint="eastAsia" w:ascii="仿宋_GB2312" w:hAnsi="仿宋_GB2312" w:eastAsia="仿宋_GB2312" w:cs="仿宋_GB2312"/>
                <w:sz w:val="24"/>
                <w:szCs w:val="24"/>
              </w:rPr>
              <w:t>属于行政查询事项</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restart"/>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（四）无法提供</w:t>
            </w: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本机关不掌握相关政府信息</w:t>
            </w:r>
          </w:p>
        </w:tc>
        <w:tc>
          <w:tcPr>
            <w:tcW w:w="696" w:type="dxa"/>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3</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没有现成信息需要另行制作</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补正后申请内容仍不明确</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restart"/>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（五）不予处理</w:t>
            </w: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信访举报投诉类申请</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重复申请</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要求提供公开出版物</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4.</w:t>
            </w:r>
            <w:r>
              <w:rPr>
                <w:rFonts w:hint="eastAsia" w:ascii="仿宋_GB2312" w:hAnsi="仿宋_GB2312" w:eastAsia="仿宋_GB2312" w:cs="仿宋_GB2312"/>
                <w:sz w:val="24"/>
                <w:szCs w:val="24"/>
              </w:rPr>
              <w:t>无正当理由大量反复申请</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5.</w:t>
            </w:r>
            <w:r>
              <w:rPr>
                <w:rFonts w:hint="eastAsia" w:ascii="仿宋_GB2312" w:hAnsi="仿宋_GB2312" w:eastAsia="仿宋_GB2312" w:cs="仿宋_GB2312"/>
                <w:sz w:val="24"/>
                <w:szCs w:val="24"/>
              </w:rPr>
              <w:t>要求行政机关确认或重新出具已获取信息</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restart"/>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（六）其他处理</w:t>
            </w:r>
          </w:p>
        </w:tc>
        <w:tc>
          <w:tcPr>
            <w:tcW w:w="2028" w:type="dxa"/>
            <w:vAlign w:val="center"/>
          </w:tcPr>
          <w:p>
            <w:pPr>
              <w:spacing w:line="400" w:lineRule="exac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1.申请人无正当理由逾期不补正、行政机关不再处理其政府信息公开申请</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hint="eastAsia" w:ascii="仿宋_GB2312" w:hAnsi="仿宋_GB2312" w:eastAsia="仿宋_GB2312" w:cs="仿宋_GB2312"/>
                <w:sz w:val="24"/>
                <w:szCs w:val="24"/>
              </w:rPr>
            </w:pPr>
          </w:p>
        </w:tc>
        <w:tc>
          <w:tcPr>
            <w:tcW w:w="2028" w:type="dxa"/>
            <w:vAlign w:val="center"/>
          </w:tcPr>
          <w:p>
            <w:pPr>
              <w:spacing w:line="400" w:lineRule="exac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2.申请人逾期未按收费通知要求缴纳费用、行政机关不再处理其政府信息公开申请</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hint="eastAsia" w:ascii="仿宋_GB2312" w:hAnsi="仿宋_GB2312" w:eastAsia="仿宋_GB2312" w:cs="仿宋_GB2312"/>
                <w:sz w:val="24"/>
                <w:szCs w:val="24"/>
              </w:rPr>
            </w:pPr>
          </w:p>
        </w:tc>
        <w:tc>
          <w:tcPr>
            <w:tcW w:w="2028" w:type="dxa"/>
            <w:vAlign w:val="center"/>
          </w:tcPr>
          <w:p>
            <w:pPr>
              <w:spacing w:line="400" w:lineRule="exac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3.其他</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3108" w:type="dxa"/>
            <w:gridSpan w:val="2"/>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（七）总计</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3</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4107" w:type="dxa"/>
            <w:gridSpan w:val="3"/>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四、结转下年度继续办理</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bl>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四、政府信息公开行政复议、行政诉讼情况</w:t>
      </w:r>
    </w:p>
    <w:tbl>
      <w:tblPr>
        <w:tblStyle w:val="2"/>
        <w:tblW w:w="8839"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583"/>
        <w:gridCol w:w="583"/>
        <w:gridCol w:w="583"/>
        <w:gridCol w:w="583"/>
        <w:gridCol w:w="661"/>
        <w:gridCol w:w="529"/>
        <w:gridCol w:w="584"/>
        <w:gridCol w:w="584"/>
        <w:gridCol w:w="584"/>
        <w:gridCol w:w="611"/>
        <w:gridCol w:w="584"/>
        <w:gridCol w:w="584"/>
        <w:gridCol w:w="584"/>
        <w:gridCol w:w="585"/>
        <w:gridCol w:w="61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95" w:hRule="atLeast"/>
          <w:jc w:val="center"/>
        </w:trPr>
        <w:tc>
          <w:tcPr>
            <w:tcW w:w="2993" w:type="dxa"/>
            <w:gridSpan w:val="5"/>
            <w:tcBorders>
              <w:tl2br w:val="nil"/>
              <w:tr2bl w:val="nil"/>
            </w:tcBorders>
            <w:tcMar>
              <w:left w:w="108" w:type="dxa"/>
              <w:right w:w="108" w:type="dxa"/>
            </w:tcMar>
            <w:vAlign w:val="center"/>
          </w:tcPr>
          <w:p>
            <w:pPr>
              <w:spacing w:line="400" w:lineRule="exact"/>
              <w:jc w:val="center"/>
              <w:rPr>
                <w:rFonts w:hint="eastAsia" w:ascii="黑体" w:hAnsi="黑体" w:eastAsia="黑体" w:cs="黑体"/>
                <w:sz w:val="24"/>
                <w:szCs w:val="24"/>
              </w:rPr>
            </w:pPr>
            <w:r>
              <w:rPr>
                <w:rFonts w:hint="eastAsia" w:ascii="黑体" w:hAnsi="黑体" w:eastAsia="黑体" w:cs="黑体"/>
                <w:sz w:val="24"/>
                <w:szCs w:val="24"/>
              </w:rPr>
              <w:t>行政复议</w:t>
            </w:r>
          </w:p>
        </w:tc>
        <w:tc>
          <w:tcPr>
            <w:tcW w:w="5846" w:type="dxa"/>
            <w:gridSpan w:val="10"/>
            <w:tcBorders>
              <w:tl2br w:val="nil"/>
              <w:tr2bl w:val="nil"/>
            </w:tcBorders>
            <w:tcMar>
              <w:left w:w="108" w:type="dxa"/>
              <w:right w:w="108" w:type="dxa"/>
            </w:tcMar>
            <w:vAlign w:val="center"/>
          </w:tcPr>
          <w:p>
            <w:pPr>
              <w:spacing w:line="400" w:lineRule="exact"/>
              <w:jc w:val="center"/>
              <w:rPr>
                <w:rFonts w:hint="eastAsia" w:ascii="黑体" w:hAnsi="黑体" w:eastAsia="黑体" w:cs="黑体"/>
                <w:sz w:val="24"/>
                <w:szCs w:val="24"/>
              </w:rPr>
            </w:pPr>
            <w:r>
              <w:rPr>
                <w:rFonts w:hint="eastAsia" w:ascii="黑体" w:hAnsi="黑体" w:eastAsia="黑体" w:cs="黑体"/>
                <w:sz w:val="24"/>
                <w:szCs w:val="24"/>
              </w:rPr>
              <w:t>行政诉讼</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95" w:hRule="atLeast"/>
          <w:jc w:val="center"/>
        </w:trPr>
        <w:tc>
          <w:tcPr>
            <w:tcW w:w="583" w:type="dxa"/>
            <w:vMerge w:val="restart"/>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583" w:type="dxa"/>
            <w:vMerge w:val="restart"/>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83" w:type="dxa"/>
            <w:vMerge w:val="restart"/>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583" w:type="dxa"/>
            <w:vMerge w:val="restart"/>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661" w:type="dxa"/>
            <w:vMerge w:val="restart"/>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总计</w:t>
            </w:r>
          </w:p>
        </w:tc>
        <w:tc>
          <w:tcPr>
            <w:tcW w:w="2892" w:type="dxa"/>
            <w:gridSpan w:val="5"/>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未经复议直接起诉</w:t>
            </w:r>
          </w:p>
        </w:tc>
        <w:tc>
          <w:tcPr>
            <w:tcW w:w="2954" w:type="dxa"/>
            <w:gridSpan w:val="5"/>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复议后起诉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595" w:hRule="atLeast"/>
          <w:jc w:val="center"/>
        </w:trPr>
        <w:tc>
          <w:tcPr>
            <w:tcW w:w="583" w:type="dxa"/>
            <w:vMerge w:val="continue"/>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p>
        </w:tc>
        <w:tc>
          <w:tcPr>
            <w:tcW w:w="583" w:type="dxa"/>
            <w:vMerge w:val="continue"/>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p>
        </w:tc>
        <w:tc>
          <w:tcPr>
            <w:tcW w:w="583" w:type="dxa"/>
            <w:vMerge w:val="continue"/>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p>
        </w:tc>
        <w:tc>
          <w:tcPr>
            <w:tcW w:w="583" w:type="dxa"/>
            <w:vMerge w:val="continue"/>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p>
        </w:tc>
        <w:tc>
          <w:tcPr>
            <w:tcW w:w="661" w:type="dxa"/>
            <w:vMerge w:val="continue"/>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p>
        </w:tc>
        <w:tc>
          <w:tcPr>
            <w:tcW w:w="529"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584"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84"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584"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611"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总计</w:t>
            </w:r>
          </w:p>
        </w:tc>
        <w:tc>
          <w:tcPr>
            <w:tcW w:w="584"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584"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84"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585"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617"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总计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772" w:hRule="atLeast"/>
          <w:jc w:val="center"/>
        </w:trPr>
        <w:tc>
          <w:tcPr>
            <w:tcW w:w="583"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83"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83"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83"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661"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29"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84"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84"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84"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611"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84"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84"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84"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85"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617"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bl>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五、存在的主要问题及改进情况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存在的主要问题：一是政府信息公开意识有待提高，二是信息公开的质量需进一步加强，包括信息公开的及时性、格式的规范性以及内容的严谨性等。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下一步，我办将进一步开展信息公开培训，拓宽培训的覆盖面，使全办都能够了解和支持政府信息公开工作。进一步完善政府信息公开内容，强化信息公开力度，主动接受社会各界监督，在全面提高政府信息公开工作水平的同时，有效保障社会公众的权益。</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六、其他需要报告的事项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2021年1月1日至12月31日，本单位共收取信息处理费0元。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慈溪市人民政府房屋征收管理办公室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pPr>
      <w:r>
        <w:rPr>
          <w:rFonts w:hint="eastAsia" w:ascii="仿宋_GB2312" w:hAnsi="仿宋_GB2312" w:eastAsia="仿宋_GB2312" w:cs="仿宋_GB2312"/>
          <w:sz w:val="32"/>
          <w:szCs w:val="32"/>
          <w:lang w:val="en-US" w:eastAsia="zh-CN"/>
        </w:rPr>
        <w:t xml:space="preserve">                       2022年1月7日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632032A"/>
    <w:multiLevelType w:val="singleLevel"/>
    <w:tmpl w:val="9632032A"/>
    <w:lvl w:ilvl="0" w:tentative="0">
      <w:start w:val="1"/>
      <w:numFmt w:val="chineseCounting"/>
      <w:suff w:val="nothing"/>
      <w:lvlText w:val="（%1）"/>
      <w:lvlJc w:val="left"/>
      <w:pPr>
        <w:ind w:left="-1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C339B0"/>
    <w:rsid w:val="018F78C6"/>
    <w:rsid w:val="01A93304"/>
    <w:rsid w:val="04591928"/>
    <w:rsid w:val="26247C8B"/>
    <w:rsid w:val="311C5247"/>
    <w:rsid w:val="3F121B47"/>
    <w:rsid w:val="3FC339B0"/>
    <w:rsid w:val="51D44B8F"/>
    <w:rsid w:val="5A037AB2"/>
    <w:rsid w:val="5AE71034"/>
    <w:rsid w:val="5C4262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15</TotalTime>
  <ScaleCrop>false</ScaleCrop>
  <LinksUpToDate>false</LinksUpToDate>
  <CharactersWithSpaces>0</CharactersWithSpaces>
  <Application>WPS Office_11.8.2.9015_F1E327BC-269C-435d-A152-05C5408002CA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2022-01-05T01:23:00Z</dcterms:created>
  <dc:creator>❄️❄️</dc:creator>
  <cp:lastModifiedBy>❄️❄️</cp:lastModifiedBy>
  <dcterms:modified xsi:type="dcterms:W3CDTF">2022-01-14T01:24:45Z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2052-11.8.2.9015</vt:lpwstr>
  </property>
</Properties>
</file>