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 xml:space="preserve">            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案号:慈知案字[</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21]</w:t>
      </w: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11</w:t>
      </w:r>
      <w:r>
        <w:rPr>
          <w:rFonts w:hint="eastAsia" w:ascii="华文仿宋" w:hAnsi="华文仿宋" w:eastAsia="华文仿宋" w:cs="华文仿宋"/>
          <w:sz w:val="32"/>
          <w:szCs w:val="32"/>
        </w:rPr>
        <w:t>号</w:t>
      </w:r>
    </w:p>
    <w:p>
      <w:pPr>
        <w:rPr>
          <w:rFonts w:hint="eastAsia" w:ascii="华文仿宋" w:hAnsi="华文仿宋" w:eastAsia="华文仿宋" w:cs="华文仿宋"/>
          <w:sz w:val="32"/>
          <w:szCs w:val="32"/>
        </w:rPr>
      </w:pPr>
    </w:p>
    <w:p>
      <w:pPr>
        <w:ind w:firstLine="640" w:firstLineChars="20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：梁文强</w:t>
      </w:r>
    </w:p>
    <w:p>
      <w:pPr>
        <w:ind w:firstLine="640" w:firstLineChars="20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：慈溪市周巷嘉诚电器配件厂</w:t>
      </w:r>
    </w:p>
    <w:p>
      <w:pPr>
        <w:ind w:firstLine="640" w:firstLineChars="200"/>
        <w:rPr>
          <w:rFonts w:hint="eastAsia" w:ascii="华文仿宋" w:hAnsi="华文仿宋" w:eastAsia="华文仿宋" w:cs="华文仿宋"/>
          <w:sz w:val="32"/>
          <w:szCs w:val="32"/>
          <w:lang w:val="en-US" w:eastAsia="zh-CN"/>
        </w:rPr>
      </w:pPr>
      <w:bookmarkStart w:id="0" w:name="_GoBack"/>
      <w:bookmarkEnd w:id="0"/>
      <w:r>
        <w:rPr>
          <w:rFonts w:hint="eastAsia" w:ascii="华文仿宋" w:hAnsi="华文仿宋" w:eastAsia="华文仿宋" w:cs="华文仿宋"/>
          <w:sz w:val="32"/>
          <w:szCs w:val="32"/>
          <w:lang w:eastAsia="zh-CN"/>
        </w:rPr>
        <w:t>案由：专利侵权纠纷，专利名称“</w:t>
      </w:r>
      <w:r>
        <w:rPr>
          <w:rFonts w:hint="eastAsia" w:ascii="华文仿宋" w:hAnsi="华文仿宋" w:eastAsia="华文仿宋" w:cs="华文仿宋"/>
          <w:sz w:val="32"/>
          <w:szCs w:val="32"/>
          <w:lang w:val="en-US" w:eastAsia="zh-CN"/>
        </w:rPr>
        <w:t>点火枪（点火器2）</w:t>
      </w:r>
      <w:r>
        <w:rPr>
          <w:rFonts w:hint="eastAsia" w:ascii="华文仿宋" w:hAnsi="华文仿宋" w:eastAsia="华文仿宋" w:cs="华文仿宋"/>
          <w:sz w:val="32"/>
          <w:szCs w:val="32"/>
          <w:lang w:eastAsia="zh-CN"/>
        </w:rPr>
        <w:t>”，专利号：</w:t>
      </w:r>
      <w:r>
        <w:rPr>
          <w:rFonts w:hint="eastAsia" w:ascii="华文仿宋" w:hAnsi="华文仿宋" w:eastAsia="华文仿宋" w:cs="华文仿宋"/>
          <w:sz w:val="32"/>
          <w:szCs w:val="32"/>
          <w:lang w:val="en-US" w:eastAsia="zh-CN"/>
        </w:rPr>
        <w:t xml:space="preserve">Zl201630582391.2  </w:t>
      </w:r>
    </w:p>
    <w:p>
      <w:pPr>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请求人就其“点火枪（点火器2）”的外观设计专利（专利号：Zl201630582391.2）与被请求人的专利侵权纠纷，向我局提出处理请求。我局于2021年9月1日受理后，依照《专利行政执法办法》第十三条我局组成合议组，合议组于2021年11月10日对该案进行了口头审理，请求人代理人和被请求人代理人到庭参加了口头审理，现本案已审结。</w:t>
      </w:r>
    </w:p>
    <w:p>
      <w:pPr>
        <w:ind w:firstLine="64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eastAsia="zh-CN"/>
        </w:rPr>
        <w:t>请求人诉求：</w:t>
      </w:r>
      <w:r>
        <w:rPr>
          <w:rFonts w:hint="eastAsia" w:ascii="华文仿宋" w:hAnsi="华文仿宋" w:eastAsia="华文仿宋" w:cs="华文仿宋"/>
          <w:sz w:val="32"/>
          <w:szCs w:val="32"/>
          <w:lang w:val="en-US" w:eastAsia="zh-CN"/>
        </w:rPr>
        <w:t>1、要求</w:t>
      </w:r>
      <w:r>
        <w:rPr>
          <w:rFonts w:hint="eastAsia" w:ascii="华文仿宋" w:hAnsi="华文仿宋" w:eastAsia="华文仿宋" w:cs="华文仿宋"/>
          <w:sz w:val="32"/>
          <w:szCs w:val="32"/>
        </w:rPr>
        <w:t>被请求人立即停止</w:t>
      </w:r>
      <w:r>
        <w:rPr>
          <w:rFonts w:hint="eastAsia" w:ascii="华文仿宋" w:hAnsi="华文仿宋" w:eastAsia="华文仿宋" w:cs="华文仿宋"/>
          <w:sz w:val="32"/>
          <w:szCs w:val="32"/>
          <w:lang w:val="en-US" w:eastAsia="zh-CN"/>
        </w:rPr>
        <w:t>生产、销售侵权产品。2、要求销毁、封存库存侵权产品、半成品及相关模具。3、要求清点记录现场生产情况、侵权产品数量、销售数据，固定封存证据。</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事实与理由：请求人于2016年11月29日向国家知识产权局申请了上述涉案专利，该专利在2017年9月22日被授权公告，专利号为Zl201630582391.2，请求人至今仍享有该专利权。请求人发现被请求人未经任何的委托、授权或许可，擅自制造、销售、许诺销售侵犯了请求人专利权的产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被请求人辩称，1、被控侵权产品握把两侧平面部分采用塑料电镀工艺，具有金属的光泽度以及镜面特性，与涉案外观专利设计不一致。2、被控侵权产品握把内侧位置（靠近点火开关处）采用的握把两侧金属质感塑料模块轮廓与握把中层塑料模块轮廓一致设计，具有一体性的设计感，与涉案外观专利设计不一致。3、被控侵权产品握把的一侧平面采用三个螺丝，另一侧平面采用一个螺丝（靠近枪管处）设计，靠近点火开关处的两侧平面部分无螺丝设计，与涉案外观专利设计不一致。综上，被控侵权产品没有落入涉案外观设计专利的保护范围，被请求人不构成侵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当事人围绕请求事项依法提交了证据，我局组织当事人进行了举证和质证。对当事人无异议的证据，我局予以确认并在卷佐证。根据当事人陈述和经审查确认的证据，我局认定事实如下：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涉案外观设计专利的专利号为Zl201630582391.2，名称“点火枪（点火器2）”，该专利申请日为2016年11月29日，授权公告日为2017年9月22日，该专利现处于法律保护的有效期内。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根据已查明的事实，结合请求方与被请求方诉请和庭审内容，本案的争议焦点为：涉案专利产品是否落入涉案专利的保护范围。</w:t>
      </w:r>
    </w:p>
    <w:p>
      <w:pPr>
        <w:ind w:firstLine="640"/>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关于争议焦点，请求人认为适用相同侵权原则，被控侵权产品落入涉案专利权利要求保护范围，被请求人认为被控侵权产品握把两侧工艺、螺丝布局及内侧设计与涉案专利不同，被控侵权产品不落入专利权保护范围。经涉案专利权设计与被控侵权产品比对，整体观察、综合判断，我局认定：涉案专利与被控侵权产品相比，被控侵权产品与专利产品属于同类产品，两者整体均类似手枪形状，由枪管、握把和点火开关三个部分组成，每个部分的设计特征基本一致，各个部分之间的连接设计基本一直，不同点在于握把两侧光泽度、螺丝布局及内侧设计有所不同。被控侵权产品与涉案专利相比，涉案专利与被控侵权产品的不同点属于局部细微差别，对于普通消费者来说此细微差别不会对外观设计的整体视觉效果产生显著影响，被控侵权产品与本案专利在整体视觉效果上无实质性差异。被控侵权产品落入本案专利的保护范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我局已经对该专利侵权纠纷进行了调解，双方无法达成一致意见。依据《中华人民共和国专利法》第十一条、第六十四、六十五条，《专利行政执法办法》第四十三条的规定，我局作出处理决定如下：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firstLine="42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kern w:val="2"/>
          <w:sz w:val="32"/>
          <w:szCs w:val="32"/>
          <w:lang w:val="en-US" w:eastAsia="zh-CN" w:bidi="ar-SA"/>
        </w:rPr>
        <w:t xml:space="preserve"> 被请求人构成侵犯专利号为Zl201630582391.2，名称“点火枪（点火器2）”的外观设计专利权。责令被请求人立即停止制造涉案专利产品的行为，如果被请求人留存有制造侵权产品的专用设备、模具的，应立即销毁，不得销售、使用尚未售出的侵权产品或者以其他任何形式将其投放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right="0" w:firstLine="640" w:firstLineChars="200"/>
        <w:jc w:val="left"/>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请求人其他诉求于法无据，不予支持。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双方当事人对本处理决定不服的，可根据《中华人民共和国专利法</w:t>
      </w:r>
      <w:r>
        <w:rPr>
          <w:rFonts w:hint="eastAsia" w:ascii="华文仿宋" w:hAnsi="华文仿宋" w:eastAsia="华文仿宋" w:cs="华文仿宋"/>
          <w:kern w:val="2"/>
          <w:sz w:val="32"/>
          <w:szCs w:val="32"/>
          <w:lang w:val="en-US" w:eastAsia="zh-CN" w:bidi="ar-SA"/>
        </w:rPr>
        <w:t>》第六十五条的规定</w:t>
      </w:r>
      <w:r>
        <w:rPr>
          <w:rFonts w:hint="eastAsia" w:ascii="华文仿宋" w:hAnsi="华文仿宋" w:eastAsia="华文仿宋" w:cs="华文仿宋"/>
          <w:sz w:val="32"/>
          <w:szCs w:val="32"/>
          <w:lang w:val="en-US" w:eastAsia="zh-CN"/>
        </w:rPr>
        <w:t>，自收到本处理决定书之日起15日内，向浙江省宁波市中级人民法院起诉。期满不起诉又不履行行政裁决的，本局将申请人民法院强制执行。</w:t>
      </w:r>
    </w:p>
    <w:p>
      <w:pPr>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慈溪</w:t>
      </w:r>
      <w:r>
        <w:rPr>
          <w:rFonts w:hint="eastAsia" w:ascii="华文仿宋" w:hAnsi="华文仿宋" w:eastAsia="华文仿宋" w:cs="华文仿宋"/>
          <w:sz w:val="32"/>
          <w:szCs w:val="32"/>
        </w:rPr>
        <w:t>市</w:t>
      </w:r>
      <w:r>
        <w:rPr>
          <w:rFonts w:hint="eastAsia" w:ascii="华文仿宋" w:hAnsi="华文仿宋" w:eastAsia="华文仿宋" w:cs="华文仿宋"/>
          <w:sz w:val="32"/>
          <w:szCs w:val="32"/>
          <w:lang w:val="en-US" w:eastAsia="zh-CN"/>
        </w:rPr>
        <w:t>市场监督管理局（知识产权局）</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地址：浙江省慈溪市古塘街道开发大道238</w:t>
      </w:r>
      <w:r>
        <w:rPr>
          <w:rFonts w:hint="eastAsia" w:ascii="华文仿宋" w:hAnsi="华文仿宋" w:eastAsia="华文仿宋" w:cs="华文仿宋"/>
          <w:sz w:val="32"/>
          <w:szCs w:val="32"/>
        </w:rPr>
        <w:t>号</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邮编：315</w:t>
      </w: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00</w:t>
      </w:r>
    </w:p>
    <w:p>
      <w:pPr>
        <w:ind w:firstLine="640" w:firstLineChars="200"/>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联系电话：0574-</w:t>
      </w:r>
      <w:r>
        <w:rPr>
          <w:rFonts w:hint="eastAsia" w:ascii="华文仿宋" w:hAnsi="华文仿宋" w:eastAsia="华文仿宋" w:cs="华文仿宋"/>
          <w:sz w:val="32"/>
          <w:szCs w:val="32"/>
          <w:lang w:val="en-US" w:eastAsia="zh-CN"/>
        </w:rPr>
        <w:t>63026415</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合议组长：吴华荣</w:t>
      </w:r>
    </w:p>
    <w:p>
      <w:pPr>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周胜杰</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 xml:space="preserve">                           审 理 员：</w:t>
      </w:r>
      <w:r>
        <w:rPr>
          <w:rFonts w:hint="eastAsia" w:ascii="华文仿宋" w:hAnsi="华文仿宋" w:eastAsia="华文仿宋" w:cs="华文仿宋"/>
          <w:sz w:val="32"/>
          <w:szCs w:val="32"/>
          <w:lang w:val="en-US" w:eastAsia="zh-CN"/>
        </w:rPr>
        <w:t>虞众</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书记员：</w:t>
      </w:r>
      <w:r>
        <w:rPr>
          <w:rFonts w:hint="eastAsia" w:ascii="华文仿宋" w:hAnsi="华文仿宋" w:eastAsia="华文仿宋" w:cs="华文仿宋"/>
          <w:sz w:val="32"/>
          <w:szCs w:val="32"/>
          <w:lang w:val="en-US" w:eastAsia="zh-CN"/>
        </w:rPr>
        <w:t>梅晓霞</w:t>
      </w:r>
    </w:p>
    <w:p>
      <w:pPr>
        <w:ind w:firstLine="3840" w:firstLineChars="1200"/>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w:t>
      </w:r>
      <w:r>
        <w:rPr>
          <w:rFonts w:hint="eastAsia" w:ascii="华文仿宋" w:hAnsi="华文仿宋" w:eastAsia="华文仿宋" w:cs="华文仿宋"/>
          <w:sz w:val="32"/>
          <w:szCs w:val="32"/>
          <w:lang w:val="en-US" w:eastAsia="zh-CN"/>
        </w:rPr>
        <w:t>慈溪市</w:t>
      </w:r>
      <w:r>
        <w:rPr>
          <w:rFonts w:hint="eastAsia" w:ascii="华文仿宋" w:hAnsi="华文仿宋" w:eastAsia="华文仿宋" w:cs="华文仿宋"/>
          <w:sz w:val="32"/>
          <w:szCs w:val="32"/>
        </w:rPr>
        <w:t>知识产权局（盖章）</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202</w:t>
      </w:r>
      <w:r>
        <w:rPr>
          <w:rFonts w:hint="eastAsia" w:ascii="华文仿宋" w:hAnsi="华文仿宋" w:eastAsia="华文仿宋" w:cs="华文仿宋"/>
          <w:sz w:val="32"/>
          <w:szCs w:val="32"/>
          <w:lang w:val="en-US" w:eastAsia="zh-CN"/>
        </w:rPr>
        <w:t>1</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11</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25</w:t>
      </w:r>
      <w:r>
        <w:rPr>
          <w:rFonts w:hint="eastAsia" w:ascii="华文仿宋" w:hAnsi="华文仿宋" w:eastAsia="华文仿宋" w:cs="华文仿宋"/>
          <w:sz w:val="32"/>
          <w:szCs w:val="32"/>
        </w:rPr>
        <w:t>日</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附法律法规：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 外观设计专利权被授予后，任何单位或者个人未经专利权人许可，都不得实施其专利，即不得为生产经营目的制造、许诺销售、销售、进口其外观设计专利产品。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95FA4"/>
    <w:rsid w:val="075F26C1"/>
    <w:rsid w:val="07F767BA"/>
    <w:rsid w:val="085E3C58"/>
    <w:rsid w:val="09DE131B"/>
    <w:rsid w:val="0B790B20"/>
    <w:rsid w:val="0D0C6095"/>
    <w:rsid w:val="10EF6542"/>
    <w:rsid w:val="1184698E"/>
    <w:rsid w:val="11AF0604"/>
    <w:rsid w:val="158E7297"/>
    <w:rsid w:val="1C257C80"/>
    <w:rsid w:val="1F355035"/>
    <w:rsid w:val="20CB38B4"/>
    <w:rsid w:val="230040D2"/>
    <w:rsid w:val="23DD71F6"/>
    <w:rsid w:val="2475441E"/>
    <w:rsid w:val="2490426B"/>
    <w:rsid w:val="274D292F"/>
    <w:rsid w:val="2D4F6685"/>
    <w:rsid w:val="2D5F49EC"/>
    <w:rsid w:val="2DCC79AE"/>
    <w:rsid w:val="2E841CA9"/>
    <w:rsid w:val="31E04532"/>
    <w:rsid w:val="32B50D76"/>
    <w:rsid w:val="333A4686"/>
    <w:rsid w:val="37CE346A"/>
    <w:rsid w:val="38F01221"/>
    <w:rsid w:val="3BA77312"/>
    <w:rsid w:val="3BFD6910"/>
    <w:rsid w:val="3CE32B80"/>
    <w:rsid w:val="3E441C2E"/>
    <w:rsid w:val="3EB30040"/>
    <w:rsid w:val="3EC77406"/>
    <w:rsid w:val="40127181"/>
    <w:rsid w:val="431F4088"/>
    <w:rsid w:val="45B00309"/>
    <w:rsid w:val="47BD7906"/>
    <w:rsid w:val="480B558D"/>
    <w:rsid w:val="4B3319D6"/>
    <w:rsid w:val="4B8A1606"/>
    <w:rsid w:val="4BD571FE"/>
    <w:rsid w:val="4C775F54"/>
    <w:rsid w:val="4F7B604C"/>
    <w:rsid w:val="4F9B202B"/>
    <w:rsid w:val="55B86065"/>
    <w:rsid w:val="569C753A"/>
    <w:rsid w:val="586B579E"/>
    <w:rsid w:val="5B510165"/>
    <w:rsid w:val="5DE945D6"/>
    <w:rsid w:val="5F1A17CC"/>
    <w:rsid w:val="614917BE"/>
    <w:rsid w:val="62224762"/>
    <w:rsid w:val="6264142D"/>
    <w:rsid w:val="64AA5A3C"/>
    <w:rsid w:val="65FA03A9"/>
    <w:rsid w:val="69AB2A58"/>
    <w:rsid w:val="6A59735A"/>
    <w:rsid w:val="6A966C8A"/>
    <w:rsid w:val="6BBA1BDA"/>
    <w:rsid w:val="6C0D30A2"/>
    <w:rsid w:val="6E5204D7"/>
    <w:rsid w:val="6FE0094E"/>
    <w:rsid w:val="70EB542C"/>
    <w:rsid w:val="722A4D76"/>
    <w:rsid w:val="74390F52"/>
    <w:rsid w:val="74634C84"/>
    <w:rsid w:val="75A52D36"/>
    <w:rsid w:val="773D4F4E"/>
    <w:rsid w:val="775056CC"/>
    <w:rsid w:val="7A28166F"/>
    <w:rsid w:val="7C535A1B"/>
    <w:rsid w:val="7CCB61B7"/>
    <w:rsid w:val="7F5737DB"/>
    <w:rsid w:val="7FC7D974"/>
    <w:rsid w:val="BCCFE589"/>
    <w:rsid w:val="EDBBC9EC"/>
    <w:rsid w:val="FEF35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whr.NBKJJ-WHR</dc:creator>
  <cp:lastModifiedBy>幻云秋风</cp:lastModifiedBy>
  <dcterms:modified xsi:type="dcterms:W3CDTF">2023-08-31T08:27:23Z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58C07767EF4A4C2A9015839DB6FC75DD</vt:lpwstr>
  </property>
</Properties>
</file>