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uppressAutoHyphens/>
        <w:spacing w:line="540" w:lineRule="exact"/>
        <w:jc w:val="center"/>
      </w:pPr>
      <w:bookmarkStart w:id="0" w:name="_GoBack"/>
      <w:bookmarkEnd w:id="0"/>
      <w:r>
        <w:rPr>
          <w:rFonts w:hint="eastAsia" w:ascii="黑体" w:hAnsi="黑体" w:eastAsia="黑体" w:cs="黑体"/>
          <w:sz w:val="36"/>
          <w:szCs w:val="36"/>
          <w:shd w:val="clear" w:color="auto" w:fill="FFFFFF"/>
        </w:rPr>
        <w:t>南部美丽乡村建设项目配套基础设施三期工程（梅园互通-寺马线）（慈溪市翠屏山北乡村振兴共富带建设配套基础设施项目〔横河段〕）征收集体所有土地房屋补偿安置方案</w:t>
      </w:r>
    </w:p>
    <w:p>
      <w:pPr>
        <w:spacing w:line="560" w:lineRule="exact"/>
        <w:ind w:firstLine="640" w:firstLineChars="200"/>
        <w:rPr>
          <w:rFonts w:hint="eastAsia" w:ascii="仿宋_GB2312" w:eastAsia="仿宋_GB2312" w:cs="仿宋_GB2312"/>
          <w:szCs w:val="32"/>
        </w:rPr>
      </w:pP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根据已发布的《慈溪市人民政府征收土地预公告》（慈征〔202</w:t>
      </w:r>
      <w:r>
        <w:rPr>
          <w:rFonts w:hint="eastAsia" w:ascii="仿宋_GB2312" w:eastAsia="仿宋_GB2312" w:cs="仿宋_GB2312"/>
          <w:szCs w:val="32"/>
          <w:lang w:val="en-US" w:eastAsia="zh-CN"/>
        </w:rPr>
        <w:t>5</w:t>
      </w:r>
      <w:r>
        <w:rPr>
          <w:rFonts w:hint="eastAsia" w:ascii="仿宋_GB2312" w:eastAsia="仿宋_GB2312" w:cs="仿宋_GB2312"/>
          <w:szCs w:val="32"/>
        </w:rPr>
        <w:t>〕</w:t>
      </w:r>
      <w:r>
        <w:rPr>
          <w:rFonts w:hint="eastAsia" w:ascii="仿宋_GB2312" w:eastAsia="仿宋_GB2312" w:cs="仿宋_GB2312"/>
          <w:szCs w:val="32"/>
          <w:lang w:val="en-US" w:eastAsia="zh-CN"/>
        </w:rPr>
        <w:t>33</w:t>
      </w:r>
      <w:r>
        <w:rPr>
          <w:rFonts w:hint="eastAsia" w:ascii="仿宋_GB2312" w:eastAsia="仿宋_GB2312" w:cs="仿宋_GB2312"/>
          <w:szCs w:val="32"/>
        </w:rPr>
        <w:t>号）</w:t>
      </w:r>
      <w:r>
        <w:rPr>
          <w:rFonts w:hint="eastAsia" w:ascii="仿宋_GB2312" w:eastAsia="仿宋_GB2312" w:cs="仿宋_GB2312"/>
          <w:szCs w:val="32"/>
          <w:lang w:eastAsia="zh-CN"/>
        </w:rPr>
        <w:t>、</w:t>
      </w:r>
      <w:r>
        <w:rPr>
          <w:rFonts w:hint="eastAsia" w:ascii="仿宋_GB2312" w:eastAsia="仿宋_GB2312" w:cs="仿宋_GB2312"/>
          <w:szCs w:val="32"/>
        </w:rPr>
        <w:t>《宁波市征收集体所有土地房屋拆迁条例》《宁波市征收集体所有土地房屋拆迁条例实施细则》《慈溪市人民政府关于印发慈溪市征收集体所有土地房屋拆迁若干规定的通知》（慈政发〔2016〕29号，以下简称《若干规定》）</w:t>
      </w:r>
      <w:r>
        <w:rPr>
          <w:rFonts w:hint="eastAsia" w:ascii="仿宋_GB2312" w:eastAsia="仿宋_GB2312" w:cs="仿宋_GB2312"/>
          <w:szCs w:val="32"/>
          <w:lang w:eastAsia="zh-CN"/>
        </w:rPr>
        <w:t>、</w:t>
      </w:r>
      <w:r>
        <w:rPr>
          <w:rFonts w:hint="eastAsia" w:ascii="仿宋_GB2312" w:eastAsia="仿宋_GB2312" w:cs="仿宋_GB2312"/>
          <w:szCs w:val="32"/>
        </w:rPr>
        <w:t>《关于对〈慈溪市征收集体所有土地房屋拆迁若干规定〉有关问题的解释》（慈土资发〔2016〕16号）</w:t>
      </w:r>
      <w:r>
        <w:rPr>
          <w:rFonts w:hint="eastAsia" w:ascii="仿宋_GB2312" w:eastAsia="仿宋_GB2312" w:cs="仿宋_GB2312"/>
          <w:szCs w:val="32"/>
          <w:lang w:eastAsia="zh-CN"/>
        </w:rPr>
        <w:t>、</w:t>
      </w:r>
      <w:r>
        <w:rPr>
          <w:rFonts w:hint="eastAsia" w:ascii="仿宋_GB2312" w:eastAsia="仿宋_GB2312" w:cs="仿宋_GB2312"/>
          <w:szCs w:val="32"/>
        </w:rPr>
        <w:t>《关于对〈2025年度</w:t>
      </w:r>
      <w:r>
        <w:rPr>
          <w:rFonts w:hint="eastAsia" w:ascii="仿宋_GB2312" w:eastAsia="仿宋_GB2312" w:cs="仿宋_GB2312"/>
          <w:szCs w:val="32"/>
          <w:lang w:eastAsia="zh-CN"/>
        </w:rPr>
        <w:t>横河</w:t>
      </w:r>
      <w:r>
        <w:rPr>
          <w:rFonts w:hint="eastAsia" w:ascii="仿宋_GB2312" w:eastAsia="仿宋_GB2312" w:cs="仿宋_GB2312"/>
          <w:szCs w:val="32"/>
        </w:rPr>
        <w:t>镇征收集体所有土地房屋拆迁补偿安置价格及有关补偿费用〉的批复》《关于进一步优化宁波市房屋征收安置房票政策有关事项的通知》（甬建发〔2024〕66号）</w:t>
      </w:r>
      <w:r>
        <w:rPr>
          <w:rFonts w:hint="eastAsia" w:ascii="仿宋_GB2312" w:eastAsia="仿宋_GB2312" w:cs="仿宋_GB2312"/>
          <w:szCs w:val="32"/>
          <w:lang w:eastAsia="zh-CN"/>
        </w:rPr>
        <w:t>、</w:t>
      </w:r>
      <w:r>
        <w:rPr>
          <w:rFonts w:hint="eastAsia" w:ascii="仿宋_GB2312" w:hAnsi="Times New Roman" w:eastAsia="仿宋_GB2312" w:cs="仿宋_GB2312"/>
          <w:kern w:val="2"/>
          <w:sz w:val="32"/>
          <w:szCs w:val="32"/>
          <w:highlight w:val="none"/>
          <w:lang w:val="en-US" w:eastAsia="zh-CN" w:bidi="ar-SA"/>
        </w:rPr>
        <w:t>《慈溪市人民政府关于印发慈溪市征收集体所有土地住宅用房货币安置补偿奖励和补助规定的通知》（慈政发〔2025〕1号）</w:t>
      </w:r>
      <w:r>
        <w:rPr>
          <w:rFonts w:hint="eastAsia" w:ascii="仿宋_GB2312" w:eastAsia="仿宋_GB2312" w:cs="仿宋_GB2312"/>
          <w:kern w:val="2"/>
          <w:sz w:val="32"/>
          <w:szCs w:val="32"/>
          <w:highlight w:val="none"/>
          <w:lang w:val="en-US" w:eastAsia="zh-CN" w:bidi="ar-SA"/>
        </w:rPr>
        <w:t>、</w:t>
      </w:r>
      <w:r>
        <w:rPr>
          <w:rFonts w:hint="eastAsia" w:ascii="仿宋_GB2312" w:hAnsi="Times New Roman" w:eastAsia="仿宋_GB2312" w:cs="仿宋_GB2312"/>
          <w:kern w:val="2"/>
          <w:sz w:val="32"/>
          <w:szCs w:val="32"/>
          <w:highlight w:val="none"/>
          <w:lang w:val="en-US" w:eastAsia="zh-CN" w:bidi="ar-SA"/>
        </w:rPr>
        <w:t>《关于贯彻执行</w:t>
      </w:r>
      <w:r>
        <w:rPr>
          <w:rFonts w:hint="eastAsia" w:ascii="仿宋_GB2312" w:eastAsia="仿宋_GB2312" w:cs="仿宋_GB2312"/>
          <w:szCs w:val="32"/>
        </w:rPr>
        <w:t>〈</w:t>
      </w:r>
      <w:r>
        <w:rPr>
          <w:rFonts w:hint="eastAsia" w:ascii="仿宋_GB2312" w:hAnsi="Times New Roman" w:eastAsia="仿宋_GB2312" w:cs="仿宋_GB2312"/>
          <w:kern w:val="2"/>
          <w:sz w:val="32"/>
          <w:szCs w:val="32"/>
          <w:highlight w:val="none"/>
          <w:lang w:val="en-US" w:eastAsia="zh-CN" w:bidi="ar-SA"/>
        </w:rPr>
        <w:t>关于进一步优化宁波市房屋征收安置房票政策有关事项的通知</w:t>
      </w:r>
      <w:r>
        <w:rPr>
          <w:rFonts w:hint="eastAsia" w:ascii="仿宋_GB2312" w:eastAsia="仿宋_GB2312" w:cs="仿宋_GB2312"/>
          <w:szCs w:val="32"/>
        </w:rPr>
        <w:t>〉</w:t>
      </w:r>
      <w:r>
        <w:rPr>
          <w:rFonts w:hint="eastAsia" w:ascii="仿宋_GB2312" w:hAnsi="Times New Roman" w:eastAsia="仿宋_GB2312" w:cs="仿宋_GB2312"/>
          <w:kern w:val="2"/>
          <w:sz w:val="32"/>
          <w:szCs w:val="32"/>
          <w:highlight w:val="none"/>
          <w:lang w:val="en-US" w:eastAsia="zh-CN" w:bidi="ar-SA"/>
        </w:rPr>
        <w:t>的指导意见》（慈房征管中心〔2025〕1号）</w:t>
      </w:r>
      <w:r>
        <w:rPr>
          <w:rFonts w:hint="eastAsia" w:ascii="仿宋_GB2312" w:eastAsia="仿宋_GB2312" w:cs="仿宋_GB2312"/>
          <w:szCs w:val="32"/>
        </w:rPr>
        <w:t>及其他政策文件，</w:t>
      </w:r>
      <w:r>
        <w:rPr>
          <w:rFonts w:hint="eastAsia" w:ascii="仿宋_GB2312" w:hAnsi="Times New Roman" w:eastAsia="仿宋_GB2312" w:cs="仿宋_GB2312"/>
          <w:kern w:val="2"/>
          <w:sz w:val="32"/>
          <w:szCs w:val="32"/>
          <w:highlight w:val="none"/>
          <w:lang w:val="en-US" w:eastAsia="zh-CN" w:bidi="ar-SA"/>
        </w:rPr>
        <w:t>结合南部美丽乡村建设项目配套基础设施三期工程（梅园互通-寺马线）（慈溪市翠屏山北乡村振兴共富带建设配套基础设施项目〔横河段〕）实际，特制定本方案。</w:t>
      </w:r>
    </w:p>
    <w:p>
      <w:pPr>
        <w:spacing w:line="520" w:lineRule="exact"/>
        <w:ind w:firstLine="640" w:firstLineChars="200"/>
        <w:rPr>
          <w:rFonts w:ascii="黑体" w:eastAsia="黑体" w:cs="黑体"/>
          <w:szCs w:val="32"/>
        </w:rPr>
      </w:pPr>
      <w:r>
        <w:rPr>
          <w:rFonts w:hint="eastAsia" w:ascii="黑体" w:eastAsia="黑体" w:cs="黑体"/>
          <w:szCs w:val="32"/>
        </w:rPr>
        <w:t>一、拆迁范围</w:t>
      </w:r>
    </w:p>
    <w:p>
      <w:pPr>
        <w:spacing w:line="560" w:lineRule="exact"/>
        <w:ind w:firstLine="640" w:firstLineChars="200"/>
        <w:rPr>
          <w:rFonts w:hint="eastAsia" w:ascii="仿宋_GB2312" w:hAnsi="Times New Roman" w:eastAsia="仿宋_GB2312" w:cs="仿宋_GB2312"/>
          <w:kern w:val="2"/>
          <w:sz w:val="32"/>
          <w:szCs w:val="32"/>
          <w:highlight w:val="none"/>
          <w:lang w:val="en-US" w:eastAsia="zh-CN" w:bidi="ar-SA"/>
        </w:rPr>
      </w:pPr>
      <w:r>
        <w:rPr>
          <w:rFonts w:hint="eastAsia" w:ascii="仿宋_GB2312" w:hAnsi="Times New Roman" w:eastAsia="仿宋_GB2312" w:cs="仿宋_GB2312"/>
          <w:kern w:val="2"/>
          <w:sz w:val="32"/>
          <w:szCs w:val="32"/>
          <w:highlight w:val="none"/>
          <w:lang w:val="en-US" w:eastAsia="zh-CN" w:bidi="ar-SA"/>
        </w:rPr>
        <w:t>南部美丽乡村建设项目配套基础设施三期工程（梅园互通-寺马线）（慈溪市翠屏山北乡村振兴共富带建设配套基础设施项目〔横河段〕）拆迁规划范围位于梅园村。详见勘测定界图。拆迁户数约27户，总建筑面积约0.7万平方米。</w:t>
      </w:r>
    </w:p>
    <w:p>
      <w:pPr>
        <w:spacing w:line="560" w:lineRule="exact"/>
        <w:ind w:firstLine="640" w:firstLineChars="200"/>
        <w:rPr>
          <w:rFonts w:ascii="仿宋_GB2312" w:eastAsia="仿宋_GB2312" w:cs="仿宋_GB2312"/>
          <w:szCs w:val="32"/>
        </w:rPr>
      </w:pPr>
      <w:r>
        <w:rPr>
          <w:rFonts w:hint="eastAsia" w:ascii="黑体" w:eastAsia="黑体" w:cs="黑体"/>
          <w:szCs w:val="32"/>
        </w:rPr>
        <w:t>二、补偿安置的对象和条件</w:t>
      </w:r>
    </w:p>
    <w:p>
      <w:pPr>
        <w:spacing w:line="520" w:lineRule="exact"/>
        <w:ind w:firstLine="640" w:firstLineChars="200"/>
        <w:rPr>
          <w:rFonts w:ascii="楷体" w:hAnsi="楷体" w:eastAsia="楷体" w:cs="楷体"/>
          <w:szCs w:val="32"/>
        </w:rPr>
      </w:pPr>
      <w:r>
        <w:rPr>
          <w:rFonts w:hint="eastAsia" w:ascii="楷体" w:hAnsi="楷体" w:eastAsia="楷体" w:cs="楷体"/>
          <w:szCs w:val="32"/>
        </w:rPr>
        <w:t>（一）补偿安置的对象</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拆迁范围内具有合法集体所有土地房屋权属证明的产权所有人及其他依法应予补偿安置的对象。</w:t>
      </w:r>
    </w:p>
    <w:p>
      <w:pPr>
        <w:spacing w:line="560" w:lineRule="exact"/>
        <w:ind w:firstLine="640" w:firstLineChars="200"/>
        <w:rPr>
          <w:rFonts w:ascii="仿宋_GB2312" w:eastAsia="仿宋_GB2312" w:cs="仿宋_GB2312"/>
          <w:szCs w:val="32"/>
        </w:rPr>
      </w:pPr>
      <w:r>
        <w:rPr>
          <w:rFonts w:hint="eastAsia" w:ascii="楷体" w:hAnsi="楷体" w:eastAsia="楷体" w:cs="楷体"/>
          <w:szCs w:val="32"/>
        </w:rPr>
        <w:t>（二）可补偿安置面积的确定</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1.被拆迁房屋的可补偿安置面积按照被拆迁人提供的合法凭证记载面积确定。</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2.被拆迁房屋无集体建设用地土地使用权证或其他合法房屋权属来源证明文件，但有以下情形之一的，可列入可补偿安置面积：</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（1）1983年12月31日前建造，且不属应拆未拆的房屋；</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1984年1月1日至1998年12月31日期间建造的（被拆迁区域1998年12月31日前规划冻结的，以规划冻结的时间为准），符合土地利用总体规划和村镇规划、具备建房申请条件的，房屋建筑占地面积未超过农村私人建房标准，符合农村宅基地管理办法相关规定的，并经依法处理后的房屋；</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（3）经慈溪市自然资源和规划局依法认定及法院依法裁决的有合法产权的房屋。</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其中（1）（2）项规定的房屋须在拆迁区域内公示10日，并由村级集体经济组织出具经镇人民政府核实的证明文件。</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3.通过买卖、赠与、继承、析产等形式取得集体所有土地被拆迁房屋全部或部分所有权的被拆迁人，按照所取得的被拆迁房屋合法建筑面积“拆一还一”方式进行补偿安置，不享受农业户优惠政策，但符合拆迁所在地可申请宅基地新建住房条件的除外。</w:t>
      </w:r>
    </w:p>
    <w:p>
      <w:pPr>
        <w:spacing w:line="560" w:lineRule="exact"/>
        <w:ind w:firstLine="640" w:firstLineChars="200"/>
        <w:rPr>
          <w:rFonts w:ascii="仿宋_GB2312" w:eastAsia="仿宋_GB2312" w:cs="仿宋_GB2312"/>
          <w:szCs w:val="32"/>
        </w:rPr>
      </w:pPr>
      <w:r>
        <w:rPr>
          <w:rFonts w:hint="eastAsia" w:ascii="楷体" w:hAnsi="楷体" w:eastAsia="楷体" w:cs="楷体"/>
          <w:szCs w:val="32"/>
        </w:rPr>
        <w:t>（三）安置人口</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被拆迁住宅用房的安置人口按照被拆迁人家庭具有常住农业户口且实际居住的人口确定。户内每对仅育有一个子女且该子女未结婚的夫妻，可相应增加一个安置人口。被拆迁人家庭虽有常住农业户口但属寄居、寄养、寄读的人员，不计入安置人口。被拆迁人家庭虽无常住农业户口但属下列情形之一的人员，可计入安置人口：</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（1）原常住农业户口在拆迁地的现役军人；</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（2）原常住农业户口在拆迁地的大中专院校在校学生；</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（3）原常住农业户口在拆迁地的劳动教养、监狱服刑人员；</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（4）其他法律、法规和政策另有规定的情形。</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2.被拆迁人选择高层现房、</w:t>
      </w:r>
      <w:r>
        <w:rPr>
          <w:rFonts w:hint="eastAsia" w:ascii="仿宋_GB2312" w:eastAsia="仿宋_GB2312" w:cs="仿宋_GB2312"/>
          <w:szCs w:val="32"/>
          <w:lang w:eastAsia="zh-CN"/>
        </w:rPr>
        <w:t>高层</w:t>
      </w:r>
      <w:r>
        <w:rPr>
          <w:rFonts w:hint="eastAsia" w:ascii="仿宋_GB2312" w:eastAsia="仿宋_GB2312" w:cs="仿宋_GB2312"/>
          <w:szCs w:val="32"/>
        </w:rPr>
        <w:t>期房调产安置或货币安置的，至2025年</w:t>
      </w:r>
      <w:r>
        <w:rPr>
          <w:rFonts w:hint="eastAsia" w:ascii="仿宋_GB2312" w:eastAsia="仿宋_GB2312" w:cs="仿宋_GB2312"/>
          <w:szCs w:val="32"/>
          <w:lang w:val="en-US" w:eastAsia="zh-CN"/>
        </w:rPr>
        <w:t>10</w:t>
      </w:r>
      <w:r>
        <w:rPr>
          <w:rFonts w:hint="eastAsia" w:ascii="仿宋_GB2312" w:eastAsia="仿宋_GB2312" w:cs="仿宋_GB2312"/>
          <w:szCs w:val="32"/>
        </w:rPr>
        <w:t>月</w:t>
      </w:r>
      <w:r>
        <w:rPr>
          <w:rFonts w:hint="eastAsia" w:ascii="仿宋_GB2312" w:eastAsia="仿宋_GB2312" w:cs="仿宋_GB2312"/>
          <w:szCs w:val="32"/>
          <w:lang w:val="en-US" w:eastAsia="zh-CN"/>
        </w:rPr>
        <w:t>29</w:t>
      </w:r>
      <w:r>
        <w:rPr>
          <w:rFonts w:hint="eastAsia" w:ascii="仿宋_GB2312" w:eastAsia="仿宋_GB2312" w:cs="仿宋_GB2312"/>
          <w:szCs w:val="32"/>
        </w:rPr>
        <w:t>日止，属下列情形之一的，可相应增加安置人口：</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（1）户内每个已满18周岁但未满法定结婚年龄的青年可相应增加二分之一个安置人口；</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（2）户内每个已满法定结婚年龄的未婚人员可相应增加一个安置人口；</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（3）户内每对已婚但尚未生育的夫妻可相应增加一个安置人口。</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 xml:space="preserve">  3.本人离婚或丧偶的，不能参照《若干规定》第二十二条第（二）项的规定增加安置人口。</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 xml:space="preserve">  4.已婚女儿原则上不计入安置人口，但属于下列情形的补偿安置规定如下：</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 xml:space="preserve"> （1）被拆迁人只有女儿而没有儿子的，允许一个女儿和入赘女婿及其子女计入安置人口。其他女儿中，未婚的仅本人计入安置人口，不再按《若干规定》第二十二条的规定增加安置人口；已婚的不再计入安置人口。入赘女婿及其子女的户口须在被拆迁户主家庭中，且未享受过农民宅基地建房或房改房、货币分房、集资建房、经济适用住房等城镇住房保障政策。已享受过上述住房保障政策的，可安置面积须扣除已享受过的建筑面积。</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 xml:space="preserve"> （2）对一子一女或一子多女的被拆迁户家庭，女儿已婚但儿子未满法定婚龄的，允许一个已婚嫁女儿计入安置人口，但该女儿户口须在被拆迁户主家庭中，且未在男方享受过农民宅基地建房或房改房、货币分房、集资建房、经济适用住房等城镇住房保障政策。已享受过上述住房保障政策的，可安置面积须扣除已享受过的建筑面积。</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5.因考入大中专院校办理农转非，且在1998年后毕业的非农人员，其入校前户口在拆迁区域，同时符合以下条件的，可参照执行农业户口人员的安置补偿政策，并可按《若干规定》第二十一条、二十二条的规定增加安置人口：</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（1）户口在本市行政区域内的；</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（2）未享受过农民宅基地建房或房改房、货币分房、集资建房、经济适用住房等城镇住房保障政策，并承诺今后放弃享受上述住房保障政策的。</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已享受过上述住房保障政策的，可安置面积须扣除已享受过住房保障政策的建筑面积。</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6.被拆迁农业户家庭中的非农户口人员及原户口在拆迁区域的非农户口人员，同时符合以下条件的，其本人可计入安置人口，但不再按《若干规定》第二十二条的规定增加安置人口：</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（1）户口在本市行政区域内；</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（2）未享受过农民宅基地建房或房改房、货币分房、集资建房、经济适用住房等城镇住房保障政策，并承诺今后放弃享受上述住房保障政策的权利。</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上述非农户口人员具有拆迁区域内常住农业户口的配偶、子女可计入安置人口；具有本市常住农业户口因不符合户口管理规定而无法迁入拆迁区域的及因婚嫁在本市办理“农转非”的配偶、子女也可计入安置人口，但在原户口所在地享受过农民宅基地建房的除外。</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已享受过农民宅基地建房或房改房、货币分房、集资建房、经济适用住房等城镇住房保障政策的，可安置面积须扣除已享受过住房保障政策的建筑面积。</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7.属于下列情形的非农户补偿安置规定如下：</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通过个人建房审批方式取得集体所有土地被拆迁房屋的非农户，原建房审批人员范围内的现有实际人员及其因婚姻、出生而增加的人员，且户籍都在本市行政区域内的计入安置人口，但不再按《若干规定》第二十二条的规定增加安置人口，可安置面积最高不得超过480平方米。</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通过确权登记或《若干规定》第十七条第二款第（一）、（二）项规定的情形之一取得集体所有土地被拆迁房屋的非农户，原则上按照被拆迁房屋合法建筑面积进行补偿安置，可安置面积最高不得超过480平方米。如人均建筑面积不到60平方米的按照人均60平方米予以安置，但户可安置面积最高不得超过250平方米。具有本市户口且实际居住的人员计入安置人口，但不再按《若干规定》第二十二条的规定增加安置人口。</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凡户主或家庭成员已享受过房改房、货币分房、集资建房、经济适用住房等城镇住房保障政策的，可安置面积须扣除已享受过住房保障政策的建筑面积。</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8.被拆迁人因婚姻、出生确需办理入户的，因婚姻办理入户的截止期限为2025年</w:t>
      </w:r>
      <w:r>
        <w:rPr>
          <w:rFonts w:hint="eastAsia" w:ascii="仿宋_GB2312" w:eastAsia="仿宋_GB2312" w:cs="仿宋_GB2312"/>
          <w:szCs w:val="32"/>
          <w:lang w:val="en-US" w:eastAsia="zh-CN"/>
        </w:rPr>
        <w:t>10</w:t>
      </w:r>
      <w:r>
        <w:rPr>
          <w:rFonts w:hint="eastAsia" w:ascii="仿宋_GB2312" w:eastAsia="仿宋_GB2312" w:cs="仿宋_GB2312"/>
          <w:szCs w:val="32"/>
        </w:rPr>
        <w:t>月</w:t>
      </w:r>
      <w:r>
        <w:rPr>
          <w:rFonts w:hint="eastAsia" w:ascii="仿宋_GB2312" w:eastAsia="仿宋_GB2312" w:cs="仿宋_GB2312"/>
          <w:szCs w:val="32"/>
          <w:lang w:val="en-US" w:eastAsia="zh-CN"/>
        </w:rPr>
        <w:t>29</w:t>
      </w:r>
      <w:r>
        <w:rPr>
          <w:rFonts w:hint="eastAsia" w:ascii="仿宋_GB2312" w:eastAsia="仿宋_GB2312" w:cs="仿宋_GB2312"/>
          <w:szCs w:val="32"/>
        </w:rPr>
        <w:t>日，因出生办理入户的截止期限为签约期限结束之日。</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9.被拆迁家庭户的性质按审批、买卖、赠与、继承、析产等产权来源所明确的产权人的户口性质来确定。若产权人超过一人且户口性质不同的，按现土地使用权登记人的户口性质来确定，未经过土地权属登记的，按具备登记条件的家庭户主的户口性质来确定。</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10.农业户口、非农户口、农业户、非农户，按2015年12月31日本市户籍制度改革前被拆迁人的户口性质认定。</w:t>
      </w:r>
    </w:p>
    <w:p>
      <w:pPr>
        <w:spacing w:line="560" w:lineRule="exact"/>
        <w:ind w:firstLine="640" w:firstLineChars="200"/>
        <w:rPr>
          <w:rFonts w:ascii="仿宋_GB2312" w:eastAsia="仿宋_GB2312" w:cs="仿宋_GB2312"/>
          <w:szCs w:val="32"/>
        </w:rPr>
      </w:pPr>
      <w:r>
        <w:rPr>
          <w:rFonts w:hint="eastAsia" w:ascii="黑体" w:eastAsia="黑体" w:cs="黑体"/>
          <w:szCs w:val="32"/>
        </w:rPr>
        <w:t>三、不予补偿安置的情形</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有以下情况的被拆迁房屋及其附属设施均不予补偿安置：</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（1）未取得集体建设用地土地使用权证或者合法的房屋权属来源证明文件的建筑；</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（2）超过批准期限的临时建筑；</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（3）属于应拆未拆的。</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使用人必须在签约期限内自行拆除，不予补偿。逾期未拆除的，依法强制拆除。</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 xml:space="preserve"> </w:t>
      </w:r>
      <w:r>
        <w:rPr>
          <w:rFonts w:hint="eastAsia" w:ascii="黑体" w:eastAsia="黑体" w:cs="黑体"/>
          <w:szCs w:val="32"/>
        </w:rPr>
        <w:t>四、补偿安置的方式和标准</w:t>
      </w:r>
    </w:p>
    <w:p>
      <w:pPr>
        <w:spacing w:line="560" w:lineRule="exact"/>
        <w:ind w:firstLine="640" w:firstLineChars="200"/>
        <w:rPr>
          <w:rFonts w:ascii="楷体" w:hAnsi="楷体" w:eastAsia="楷体" w:cs="楷体"/>
          <w:szCs w:val="32"/>
        </w:rPr>
      </w:pPr>
      <w:r>
        <w:rPr>
          <w:rFonts w:hint="eastAsia" w:ascii="楷体" w:hAnsi="楷体" w:eastAsia="楷体" w:cs="楷体"/>
          <w:szCs w:val="32"/>
        </w:rPr>
        <w:t>（一）住宅房屋补偿安置</w:t>
      </w:r>
    </w:p>
    <w:p>
      <w:pPr>
        <w:spacing w:line="560" w:lineRule="exact"/>
        <w:ind w:firstLine="640" w:firstLineChars="200"/>
        <w:rPr>
          <w:rFonts w:hint="eastAsia" w:ascii="仿宋_GB2312" w:eastAsia="仿宋_GB2312" w:cs="仿宋_GB2312"/>
          <w:szCs w:val="32"/>
        </w:rPr>
      </w:pPr>
      <w:r>
        <w:rPr>
          <w:rFonts w:hint="eastAsia" w:ascii="仿宋_GB2312" w:eastAsia="仿宋_GB2312" w:cs="仿宋_GB2312"/>
          <w:szCs w:val="32"/>
        </w:rPr>
        <w:t>住宅房屋的拆迁补偿安置方式为调产安置和货币安置。</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被拆迁人选择调产安置或货币安置的，其住宅房屋的可安置面积，按照《若干规定》第十七条确定，户内人口（包括《若干规定》第二十二条规定的增加安置人口）1—2人的，可安置面积不得超过250平方米，户内人口（包括《若干规定》第二十二条规定的增加安置人口）超过2人的，可安置面积不得超过480平方米（简称高限安置标准）；对于符合宅基地申请条件但因未取得宅基地建房或者已建住宅房屋建筑面积小于人均60平方米等而造成住房困难的村民，按每户人均60平方米（简称低限安置标准）确定可安置面积。</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1.被拆迁人选择</w:t>
      </w:r>
      <w:r>
        <w:rPr>
          <w:rFonts w:hint="eastAsia" w:ascii="仿宋_GB2312" w:eastAsia="仿宋_GB2312" w:cs="仿宋_GB2312"/>
          <w:szCs w:val="32"/>
          <w:lang w:eastAsia="zh-CN"/>
        </w:rPr>
        <w:t>高层现房、</w:t>
      </w:r>
      <w:r>
        <w:rPr>
          <w:rFonts w:hint="eastAsia" w:ascii="仿宋_GB2312" w:eastAsia="仿宋_GB2312" w:cs="仿宋_GB2312"/>
          <w:szCs w:val="32"/>
        </w:rPr>
        <w:t>高层期房调产安置的，其补偿安置适用下列规定：</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（1）可安置面积中与被拆迁房屋建筑面积等额部分，选择</w:t>
      </w:r>
      <w:r>
        <w:rPr>
          <w:rFonts w:hint="eastAsia" w:ascii="仿宋_GB2312" w:eastAsia="仿宋_GB2312" w:cs="仿宋_GB2312"/>
          <w:szCs w:val="32"/>
          <w:lang w:eastAsia="zh-CN"/>
        </w:rPr>
        <w:t>高层现房、高层期房调</w:t>
      </w:r>
      <w:r>
        <w:rPr>
          <w:rFonts w:hint="eastAsia" w:ascii="仿宋_GB2312" w:eastAsia="仿宋_GB2312" w:cs="仿宋_GB2312"/>
          <w:szCs w:val="32"/>
        </w:rPr>
        <w:t>产安置的，优惠额度为基本造价的45%，其余可安置面积按照基本造价进行结算。被拆迁房屋按重置价格结合成新结算差价，被拆迁房屋建筑面积小于人均30平方米的（不包括《若干规定》第二十二条规定的增加安置人口），按照人均30平方米计算；</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（2）实际安置用房建筑面积小于可安置面积的部分，按照被拆迁房屋所在地段与安置用房同类房屋等级的商品住宅的平均价格扣除基本造价结算；</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（3）实际安置用房建筑面积超过可安置面积的部分，按照安置用房所在地段同类房屋等级的商品住宅的平均价格结算（应另计楼层差价和朝向差价）；</w:t>
      </w:r>
    </w:p>
    <w:p>
      <w:pPr>
        <w:spacing w:line="560" w:lineRule="exact"/>
        <w:ind w:firstLine="640" w:firstLineChars="200"/>
        <w:rPr>
          <w:rFonts w:hint="eastAsia" w:ascii="仿宋_GB2312" w:eastAsia="仿宋_GB2312" w:cs="仿宋_GB2312"/>
          <w:szCs w:val="32"/>
          <w:lang w:eastAsia="zh-CN"/>
        </w:rPr>
      </w:pPr>
      <w:r>
        <w:rPr>
          <w:rFonts w:hint="eastAsia" w:ascii="仿宋_GB2312" w:eastAsia="仿宋_GB2312" w:cs="仿宋_GB2312"/>
          <w:szCs w:val="32"/>
        </w:rPr>
        <w:t>（4）被拆迁房屋建筑面积超过可安置建筑面积的部分，按重置价结合成新再增加100%给予补偿</w:t>
      </w:r>
      <w:r>
        <w:rPr>
          <w:rFonts w:hint="eastAsia" w:ascii="仿宋_GB2312" w:eastAsia="仿宋_GB2312" w:cs="仿宋_GB2312"/>
          <w:szCs w:val="32"/>
          <w:lang w:eastAsia="zh-CN"/>
        </w:rPr>
        <w:t>外，再按砖混一等全新房屋重置价的100%增加补偿；</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（5）对安置到配电梯住宅的被拆迁人，安置时每套可增加7平方米建筑面积，该增加部分面积不结算房价，计入房屋产权登记面积；</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（6）底层杂物间按基本造价优惠20%结算，结算金额不计楼层差价和朝向差价。车位价格在拆迁时由发改、自然资源和规划、住建、房屋征管中心等部门根据安置车位情况另行确定。</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2.被拆迁人选择货币安置的，其补偿安置适用下列规定：</w:t>
      </w:r>
    </w:p>
    <w:p>
      <w:pPr>
        <w:spacing w:line="560" w:lineRule="exact"/>
        <w:ind w:firstLine="640" w:firstLineChars="200"/>
        <w:rPr>
          <w:rFonts w:hint="eastAsia" w:ascii="仿宋_GB2312" w:eastAsia="仿宋_GB2312" w:cs="仿宋_GB2312"/>
          <w:szCs w:val="32"/>
        </w:rPr>
      </w:pPr>
      <w:r>
        <w:rPr>
          <w:rFonts w:hint="eastAsia" w:ascii="仿宋_GB2312" w:eastAsia="仿宋_GB2312" w:cs="仿宋_GB2312"/>
          <w:szCs w:val="32"/>
        </w:rPr>
        <w:t>（1）选择货币安置部分，按照《关于进一步优化宁波市房屋征收安置房票政策有关事项的通知》（甬建发〔2024〕66号）</w:t>
      </w:r>
      <w:r>
        <w:rPr>
          <w:rFonts w:hint="eastAsia" w:ascii="仿宋_GB2312" w:eastAsia="仿宋_GB2312" w:cs="仿宋_GB2312"/>
          <w:szCs w:val="32"/>
          <w:lang w:eastAsia="zh-CN"/>
        </w:rPr>
        <w:t>、</w:t>
      </w:r>
      <w:r>
        <w:rPr>
          <w:rFonts w:hint="eastAsia" w:ascii="仿宋_GB2312" w:eastAsia="仿宋_GB2312" w:cs="仿宋_GB2312"/>
          <w:szCs w:val="32"/>
        </w:rPr>
        <w:t>《关于贯彻执行〈关于进一步优化宁波市房屋征收安置房票政策有关事项的通知〉的指导意见》（慈房征管中心〔2025〕1号）规定开具房票。</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（2）住宅房屋可安置面积的补偿资金，按照被拆迁房屋所在地段与安置用房同类房屋等级的商品住宅的平均价格扣除基本造价确定；</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（3）被拆迁房屋按重置价格结合成新予以补偿，被拆迁房屋建筑面积小于人均30平方米的（不包括《若干规定》第二十二条规定的增加安置人口），按照人均30平方米计算；</w:t>
      </w:r>
    </w:p>
    <w:p>
      <w:pPr>
        <w:spacing w:line="560" w:lineRule="exact"/>
        <w:ind w:firstLine="640" w:firstLineChars="200"/>
        <w:rPr>
          <w:rFonts w:hint="eastAsia" w:ascii="仿宋_GB2312" w:eastAsia="仿宋_GB2312" w:cs="仿宋_GB2312"/>
          <w:szCs w:val="32"/>
          <w:lang w:eastAsia="zh-CN"/>
        </w:rPr>
      </w:pPr>
      <w:r>
        <w:rPr>
          <w:rFonts w:hint="eastAsia" w:ascii="仿宋_GB2312" w:eastAsia="仿宋_GB2312" w:cs="仿宋_GB2312"/>
          <w:szCs w:val="32"/>
        </w:rPr>
        <w:t>（4）被拆迁房屋建筑面积超过可安置面积的部分，按重置价结合成新再增加100%给予补偿</w:t>
      </w:r>
      <w:r>
        <w:rPr>
          <w:rFonts w:hint="eastAsia" w:ascii="仿宋_GB2312" w:eastAsia="仿宋_GB2312" w:cs="仿宋_GB2312"/>
          <w:szCs w:val="32"/>
          <w:lang w:eastAsia="zh-CN"/>
        </w:rPr>
        <w:t>外，再按砖混一等全新房屋重置价的100%增加补偿。</w:t>
      </w:r>
    </w:p>
    <w:p>
      <w:pPr>
        <w:spacing w:line="560" w:lineRule="exact"/>
        <w:ind w:firstLine="640" w:firstLineChars="200"/>
        <w:rPr>
          <w:rFonts w:hint="eastAsia" w:ascii="仿宋_GB2312" w:eastAsia="仿宋_GB2312" w:cs="仿宋_GB2312"/>
          <w:szCs w:val="32"/>
        </w:rPr>
      </w:pPr>
      <w:r>
        <w:rPr>
          <w:rFonts w:hint="eastAsia" w:ascii="仿宋_GB2312" w:eastAsia="仿宋_GB2312" w:cs="仿宋_GB2312"/>
          <w:szCs w:val="32"/>
        </w:rPr>
        <w:t>（5）拆迁人按照第（1）（2）（3）项补偿金额再增加5%的拆迁补偿资金。</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（6）拆迁人再按照第（1）（2）（3）项补偿金额给予15%的货币奖励。</w:t>
      </w:r>
    </w:p>
    <w:p>
      <w:pPr>
        <w:spacing w:line="560" w:lineRule="exact"/>
        <w:ind w:firstLine="640" w:firstLineChars="200"/>
        <w:rPr>
          <w:rFonts w:ascii="楷体" w:hAnsi="楷体" w:eastAsia="楷体" w:cs="楷体"/>
          <w:szCs w:val="32"/>
        </w:rPr>
      </w:pPr>
      <w:r>
        <w:rPr>
          <w:rFonts w:hint="eastAsia" w:ascii="楷体" w:hAnsi="楷体" w:eastAsia="楷体" w:cs="楷体"/>
          <w:szCs w:val="32"/>
        </w:rPr>
        <w:t>（二）住宅房屋其他补偿费用标准</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1.用地面积补差标准</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被拆迁住房实行调产安置和货币安置的，拆迁人应补偿被拆迁人按被拆住房用地面积与被拆住房建筑面积按容积率1.3计算的土地面积的差价，补偿标准为每平方米195元。</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2.搬家补贴费</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被拆住房建筑面积60平方米以下的，按1200元/户.次结算；60（含60）平方米到90平方米的，按1300元/户.次结算；90（含90）平方米以上的，按1400元/户.次结算。每户被拆迁户的搬家补贴费按两次结算。</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3.临时过渡补贴费</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拆迁人应按照被拆住房建筑面积、地段等因素支付被拆迁人临时过渡补贴费。具体标准如下：</w:t>
      </w:r>
    </w:p>
    <w:p>
      <w:pPr>
        <w:spacing w:line="560" w:lineRule="exact"/>
        <w:ind w:firstLine="640" w:firstLineChars="200"/>
        <w:rPr>
          <w:rFonts w:hint="eastAsia" w:ascii="仿宋_GB2312" w:eastAsia="仿宋_GB2312" w:cs="仿宋_GB2312"/>
          <w:szCs w:val="32"/>
          <w:lang w:eastAsia="zh-CN"/>
        </w:rPr>
      </w:pPr>
      <w:r>
        <w:rPr>
          <w:rFonts w:hint="eastAsia" w:ascii="仿宋_GB2312" w:eastAsia="仿宋_GB2312" w:cs="仿宋_GB2312"/>
          <w:szCs w:val="32"/>
          <w:lang w:eastAsia="zh-CN"/>
        </w:rPr>
        <w:t>60平方米以下（含60）部分按每月每平方米10元补贴；</w:t>
      </w:r>
    </w:p>
    <w:p>
      <w:pPr>
        <w:spacing w:line="560" w:lineRule="exact"/>
        <w:ind w:firstLine="640" w:firstLineChars="200"/>
        <w:rPr>
          <w:rFonts w:hint="eastAsia" w:ascii="仿宋_GB2312" w:eastAsia="仿宋_GB2312" w:cs="仿宋_GB2312"/>
          <w:szCs w:val="32"/>
          <w:lang w:eastAsia="zh-CN"/>
        </w:rPr>
      </w:pPr>
      <w:r>
        <w:rPr>
          <w:rFonts w:hint="eastAsia" w:ascii="仿宋_GB2312" w:eastAsia="仿宋_GB2312" w:cs="仿宋_GB2312"/>
          <w:szCs w:val="32"/>
          <w:lang w:eastAsia="zh-CN"/>
        </w:rPr>
        <w:t>60平方米到90平方米（含90）按每月每平方米</w:t>
      </w:r>
      <w:r>
        <w:rPr>
          <w:rFonts w:hint="eastAsia" w:ascii="仿宋_GB2312" w:eastAsia="仿宋_GB2312" w:cs="仿宋_GB2312"/>
          <w:szCs w:val="32"/>
          <w:lang w:val="en-US" w:eastAsia="zh-CN"/>
        </w:rPr>
        <w:t>9</w:t>
      </w:r>
      <w:r>
        <w:rPr>
          <w:rFonts w:hint="eastAsia" w:ascii="仿宋_GB2312" w:eastAsia="仿宋_GB2312" w:cs="仿宋_GB2312"/>
          <w:szCs w:val="32"/>
          <w:lang w:eastAsia="zh-CN"/>
        </w:rPr>
        <w:t>元补贴；</w:t>
      </w:r>
    </w:p>
    <w:p>
      <w:pPr>
        <w:spacing w:line="560" w:lineRule="exact"/>
        <w:ind w:firstLine="640" w:firstLineChars="200"/>
        <w:rPr>
          <w:rFonts w:hint="eastAsia" w:ascii="仿宋_GB2312" w:eastAsia="仿宋_GB2312" w:cs="仿宋_GB2312"/>
          <w:szCs w:val="32"/>
          <w:lang w:eastAsia="zh-CN"/>
        </w:rPr>
      </w:pPr>
      <w:r>
        <w:rPr>
          <w:rFonts w:hint="eastAsia" w:ascii="仿宋_GB2312" w:eastAsia="仿宋_GB2312" w:cs="仿宋_GB2312"/>
          <w:szCs w:val="32"/>
          <w:lang w:eastAsia="zh-CN"/>
        </w:rPr>
        <w:t>90平方米到150平方米（含150）按每月每平方米</w:t>
      </w:r>
      <w:r>
        <w:rPr>
          <w:rFonts w:hint="eastAsia" w:ascii="仿宋_GB2312" w:eastAsia="仿宋_GB2312" w:cs="仿宋_GB2312"/>
          <w:szCs w:val="32"/>
          <w:lang w:val="en-US" w:eastAsia="zh-CN"/>
        </w:rPr>
        <w:t>8</w:t>
      </w:r>
      <w:r>
        <w:rPr>
          <w:rFonts w:hint="eastAsia" w:ascii="仿宋_GB2312" w:eastAsia="仿宋_GB2312" w:cs="仿宋_GB2312"/>
          <w:szCs w:val="32"/>
          <w:lang w:eastAsia="zh-CN"/>
        </w:rPr>
        <w:t>元补贴；</w:t>
      </w:r>
    </w:p>
    <w:p>
      <w:pPr>
        <w:spacing w:line="560" w:lineRule="exact"/>
        <w:ind w:firstLine="640" w:firstLineChars="200"/>
        <w:rPr>
          <w:rFonts w:hint="eastAsia" w:ascii="仿宋_GB2312" w:eastAsia="仿宋_GB2312" w:cs="仿宋_GB2312"/>
          <w:szCs w:val="32"/>
          <w:lang w:eastAsia="zh-CN"/>
        </w:rPr>
      </w:pPr>
      <w:r>
        <w:rPr>
          <w:rFonts w:hint="eastAsia" w:ascii="仿宋_GB2312" w:eastAsia="仿宋_GB2312" w:cs="仿宋_GB2312"/>
          <w:szCs w:val="32"/>
          <w:lang w:eastAsia="zh-CN"/>
        </w:rPr>
        <w:t>150平方米到250平方米（含250）按每月每平方米</w:t>
      </w:r>
      <w:r>
        <w:rPr>
          <w:rFonts w:hint="eastAsia" w:ascii="仿宋_GB2312" w:eastAsia="仿宋_GB2312" w:cs="仿宋_GB2312"/>
          <w:szCs w:val="32"/>
          <w:lang w:val="en-US" w:eastAsia="zh-CN"/>
        </w:rPr>
        <w:t>7</w:t>
      </w:r>
      <w:r>
        <w:rPr>
          <w:rFonts w:hint="eastAsia" w:ascii="仿宋_GB2312" w:eastAsia="仿宋_GB2312" w:cs="仿宋_GB2312"/>
          <w:szCs w:val="32"/>
          <w:lang w:eastAsia="zh-CN"/>
        </w:rPr>
        <w:t>元补贴；</w:t>
      </w:r>
    </w:p>
    <w:p>
      <w:pPr>
        <w:spacing w:line="560" w:lineRule="exact"/>
        <w:ind w:firstLine="640" w:firstLineChars="200"/>
        <w:rPr>
          <w:rFonts w:hint="eastAsia" w:ascii="仿宋_GB2312" w:eastAsia="仿宋_GB2312" w:cs="仿宋_GB2312"/>
          <w:szCs w:val="32"/>
          <w:lang w:eastAsia="zh-CN"/>
        </w:rPr>
      </w:pPr>
      <w:r>
        <w:rPr>
          <w:rFonts w:hint="eastAsia" w:ascii="仿宋_GB2312" w:eastAsia="仿宋_GB2312" w:cs="仿宋_GB2312"/>
          <w:szCs w:val="32"/>
          <w:lang w:eastAsia="zh-CN"/>
        </w:rPr>
        <w:t>250平方米以上部分按每月每平方米</w:t>
      </w:r>
      <w:r>
        <w:rPr>
          <w:rFonts w:hint="eastAsia" w:ascii="仿宋_GB2312" w:eastAsia="仿宋_GB2312" w:cs="仿宋_GB2312"/>
          <w:szCs w:val="32"/>
          <w:lang w:val="en-US" w:eastAsia="zh-CN"/>
        </w:rPr>
        <w:t>6</w:t>
      </w:r>
      <w:r>
        <w:rPr>
          <w:rFonts w:hint="eastAsia" w:ascii="仿宋_GB2312" w:eastAsia="仿宋_GB2312" w:cs="仿宋_GB2312"/>
          <w:szCs w:val="32"/>
          <w:lang w:eastAsia="zh-CN"/>
        </w:rPr>
        <w:t>元补贴。</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拆迁协议中应当明确过渡期限和过渡方式。协议约定的过渡期限不得超过两年。调产安置的被拆迁人选择领取临时过渡补贴费的，拆迁人支付临时过渡补贴费；选择需要临时过渡房的，拆迁人提供一定数量的临时过渡房给确有必要的被拆迁人。</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安置住房以约定期限交付的，拆迁人应支付按协议约定的交付期限再加6个月的临时过渡补贴费。因拆迁人的责任而延期交付安置住房的，对领取临时过渡补贴费的被拆迁人，拆迁人应自逾期之月起，按照原标准的两倍，支付临时过渡补贴费给被拆迁人。</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选择货币安置的被拆迁人，应自行解决周转用房。拆迁人应一次性支付被拆迁人12个月临时过渡补贴费。</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4.对利用自有合法住房从事生产经营活动,在2025年</w:t>
      </w:r>
      <w:r>
        <w:rPr>
          <w:rFonts w:hint="eastAsia" w:ascii="仿宋_GB2312" w:eastAsia="仿宋_GB2312" w:cs="仿宋_GB2312"/>
          <w:szCs w:val="32"/>
          <w:lang w:val="en-US" w:eastAsia="zh-CN"/>
        </w:rPr>
        <w:t>10</w:t>
      </w:r>
      <w:r>
        <w:rPr>
          <w:rFonts w:hint="eastAsia" w:ascii="仿宋_GB2312" w:eastAsia="仿宋_GB2312" w:cs="仿宋_GB2312"/>
          <w:szCs w:val="32"/>
        </w:rPr>
        <w:t>月</w:t>
      </w:r>
      <w:r>
        <w:rPr>
          <w:rFonts w:hint="eastAsia" w:ascii="仿宋_GB2312" w:eastAsia="仿宋_GB2312" w:cs="仿宋_GB2312"/>
          <w:szCs w:val="32"/>
          <w:lang w:val="en-US" w:eastAsia="zh-CN"/>
        </w:rPr>
        <w:t>29</w:t>
      </w:r>
      <w:r>
        <w:rPr>
          <w:rFonts w:hint="eastAsia" w:ascii="仿宋_GB2312" w:eastAsia="仿宋_GB2312" w:cs="仿宋_GB2312"/>
          <w:szCs w:val="32"/>
        </w:rPr>
        <w:t>日已持有工商营业执照,并连续纳税半年以上的被拆迁房屋给予适当补贴。</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利用合法住宅从事商业经营活动的补贴标准，具体计算公式为：经营年限补贴=（被拆住宅改变用途部分面积按商业用途评估的市场价格－被拆住宅改变用途部分面积按住宅用途评估的市场价格）×年限系数。年限系数的取值标准见下表。</w:t>
      </w:r>
    </w:p>
    <w:p>
      <w:pPr>
        <w:spacing w:line="480" w:lineRule="exact"/>
        <w:ind w:firstLine="627" w:firstLineChars="196"/>
        <w:jc w:val="center"/>
        <w:rPr>
          <w:rFonts w:ascii="仿宋_GB2312" w:eastAsia="仿宋_GB2312"/>
          <w:szCs w:val="32"/>
        </w:rPr>
      </w:pPr>
      <w:r>
        <w:rPr>
          <w:rFonts w:hint="eastAsia" w:ascii="仿宋_GB2312" w:eastAsia="仿宋_GB2312"/>
          <w:szCs w:val="32"/>
        </w:rPr>
        <w:t>年限系数取值标准表</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5"/>
        <w:gridCol w:w="1608"/>
        <w:gridCol w:w="1608"/>
        <w:gridCol w:w="1608"/>
        <w:gridCol w:w="17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0" w:hRule="atLeast"/>
          <w:jc w:val="center"/>
        </w:trPr>
        <w:tc>
          <w:tcPr>
            <w:tcW w:w="2115" w:type="dxa"/>
            <w:tcBorders>
              <w:top w:val="single" w:color="auto" w:sz="4" w:space="0"/>
              <w:left w:val="single" w:color="auto" w:sz="4" w:space="0"/>
              <w:bottom w:val="single" w:color="auto" w:sz="4" w:space="0"/>
              <w:right w:val="single" w:color="auto" w:sz="4" w:space="0"/>
            </w:tcBorders>
          </w:tcPr>
          <w:p>
            <w:pPr>
              <w:spacing w:line="480" w:lineRule="exact"/>
              <w:jc w:val="center"/>
              <w:rPr>
                <w:rFonts w:ascii="仿宋_GB2312" w:eastAsia="仿宋_GB2312"/>
                <w:szCs w:val="32"/>
              </w:rPr>
            </w:pPr>
            <w:r>
              <w:rPr>
                <w:rFonts w:ascii="仿宋_GB2312" w:eastAsia="仿宋_GB2312"/>
                <w:szCs w:val="32"/>
              </w:rPr>
              <w:pict>
                <v:shape id="文本框 9" o:spid="_x0000_s2050" o:spt="202" type="#_x0000_t202" style="position:absolute;left:0pt;margin-left:14.6pt;margin-top:44.1pt;height:19pt;width:17pt;z-index:251666432;mso-width-relative:page;mso-height-relative:page;" filled="f" stroked="f" coordsize="21600,21600" o:gfxdata="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LlQblfXAAAACAEAAA8AAAAAAAAAAQAgAAAAIgAAAGRycy9kb3ducmV2LnhtbFBL&#10;AQIUABQAAAAIAIdO4kBRLAxovgEAAH8DAAAOAAAAAAAAAAEAIAAAACYBAABkcnMvZTJvRG9jLnht&#10;bFBLBQYAAAAABgAGAFkBAABWBQAAAAA=&#10;">
                  <v:path/>
                  <v:fill on="f" focussize="0,0"/>
                  <v:stroke on="f" joinstyle="miter"/>
                  <v:imagedata o:title=""/>
                  <o:lock v:ext="edit"/>
                  <v:textbox inset="0mm,0mm,0mm,0mm">
                    <w:txbxContent>
                      <w:p>
                        <w:pPr>
                          <w:snapToGrid w:val="0"/>
                          <w:rPr>
                            <w:sz w:val="28"/>
                            <w:szCs w:val="28"/>
                          </w:rPr>
                        </w:pPr>
                        <w:r>
                          <w:rPr>
                            <w:sz w:val="28"/>
                            <w:szCs w:val="28"/>
                          </w:rPr>
                          <w:t>质</w:t>
                        </w:r>
                      </w:p>
                    </w:txbxContent>
                  </v:textbox>
                </v:shape>
              </w:pict>
            </w:r>
            <w:r>
              <w:rPr>
                <w:rFonts w:ascii="仿宋_GB2312" w:eastAsia="仿宋_GB2312"/>
                <w:szCs w:val="32"/>
              </w:rPr>
              <w:pict>
                <v:shape id="文本框 10" o:spid="_x0000_s2051" o:spt="202" type="#_x0000_t202" style="position:absolute;left:0pt;margin-left:15.3pt;margin-top:25.7pt;height:14.6pt;width:12.65pt;z-index:251667456;mso-width-relative:page;mso-height-relative:page;" filled="f" stroked="f" coordsize="21600,21600" o:gfxdata="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pIIurtYAAAAHAQAADwAAAAAAAAABACAAAAAiAAAAZHJzL2Rvd25yZXYueG1sUEsB&#10;AhQAFAAAAAgAh07iQMQ/HM++AQAAgQMAAA4AAAAAAAAAAQAgAAAAJQEAAGRycy9lMm9Eb2MueG1s&#10;UEsFBgAAAAAGAAYAWQEAAFUFAAAAAA==&#10;">
                  <v:path/>
                  <v:fill on="f" focussize="0,0"/>
                  <v:stroke on="f" joinstyle="miter"/>
                  <v:imagedata o:title=""/>
                  <o:lock v:ext="edit"/>
                  <v:textbox inset="0mm,0mm,0mm,0mm">
                    <w:txbxContent>
                      <w:p>
                        <w:pPr>
                          <w:snapToGrid w:val="0"/>
                          <w:rPr>
                            <w:sz w:val="28"/>
                            <w:szCs w:val="28"/>
                          </w:rPr>
                        </w:pPr>
                        <w:r>
                          <w:rPr>
                            <w:sz w:val="28"/>
                            <w:szCs w:val="28"/>
                          </w:rPr>
                          <w:t>地</w:t>
                        </w:r>
                      </w:p>
                    </w:txbxContent>
                  </v:textbox>
                </v:shape>
              </w:pict>
            </w:r>
            <w:r>
              <w:rPr>
                <w:rFonts w:ascii="仿宋_GB2312" w:eastAsia="仿宋_GB2312"/>
                <w:szCs w:val="32"/>
              </w:rPr>
              <w:pict>
                <v:shape id="文本框 11" o:spid="_x0000_s2052" o:spt="202" type="#_x0000_t202" style="position:absolute;left:0pt;margin-left:-0.55pt;margin-top:44pt;height:15.5pt;width:14.45pt;z-index:251668480;mso-width-relative:page;mso-height-relative:page;" filled="f" stroked="f" coordsize="21600,21600" o:gfxdata="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AIl1BY1gAAAAgBAAAPAAAAAAAAAAEAIAAAACIAAABkcnMvZG93bnJldi54bWxQ&#10;SwECFAAUAAAACACHTuJAVtPp28ABAACBAwAADgAAAAAAAAABACAAAAAlAQAAZHJzL2Uyb0RvYy54&#10;bWxQSwUGAAAAAAYABgBZAQAAVwUAAAAA&#10;">
                  <v:path/>
                  <v:fill on="f" focussize="0,0"/>
                  <v:stroke on="f" joinstyle="miter"/>
                  <v:imagedata o:title=""/>
                  <o:lock v:ext="edit"/>
                  <v:textbox inset="0mm,0mm,0mm,0mm">
                    <w:txbxContent>
                      <w:p>
                        <w:pPr>
                          <w:snapToGrid w:val="0"/>
                          <w:rPr>
                            <w:sz w:val="28"/>
                            <w:szCs w:val="28"/>
                          </w:rPr>
                        </w:pPr>
                        <w:r>
                          <w:rPr>
                            <w:sz w:val="28"/>
                            <w:szCs w:val="28"/>
                          </w:rPr>
                          <w:t>性</w:t>
                        </w:r>
                      </w:p>
                    </w:txbxContent>
                  </v:textbox>
                </v:shape>
              </w:pict>
            </w:r>
            <w:r>
              <w:rPr>
                <w:rFonts w:ascii="仿宋_GB2312" w:eastAsia="仿宋_GB2312"/>
                <w:szCs w:val="32"/>
              </w:rPr>
              <w:pict>
                <v:shape id="文本框 8" o:spid="_x0000_s2053" o:spt="202" type="#_x0000_t202" style="position:absolute;left:0pt;margin-left:1.1pt;margin-top:26.85pt;height:19pt;width:12.6pt;z-index:251665408;mso-width-relative:page;mso-height-relative:page;" filled="f" stroked="f" coordsize="21600,21600" o:gfxdata="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s9f9Y1gAAAAcBAAAPAAAAAAAAAAEAIAAAACIAAABkcnMvZG93bnJldi54bWxQSwEC&#10;FAAUAAAACACHTuJAoC6I5r0BAAB/AwAADgAAAAAAAAABACAAAAAlAQAAZHJzL2Uyb0RvYy54bWxQ&#10;SwUGAAAAAAYABgBZAQAAVAUAAAAA&#10;">
                  <v:path/>
                  <v:fill on="f" focussize="0,0"/>
                  <v:stroke on="f" joinstyle="miter"/>
                  <v:imagedata o:title=""/>
                  <o:lock v:ext="edit"/>
                  <v:textbox inset="0mm,0mm,0mm,0mm">
                    <w:txbxContent>
                      <w:p>
                        <w:pPr>
                          <w:snapToGrid w:val="0"/>
                          <w:rPr>
                            <w:sz w:val="28"/>
                            <w:szCs w:val="28"/>
                          </w:rPr>
                        </w:pPr>
                        <w:r>
                          <w:rPr>
                            <w:sz w:val="28"/>
                            <w:szCs w:val="28"/>
                          </w:rPr>
                          <w:t>土</w:t>
                        </w:r>
                      </w:p>
                    </w:txbxContent>
                  </v:textbox>
                </v:shape>
              </w:pict>
            </w:r>
            <w:r>
              <w:rPr>
                <w:rFonts w:ascii="仿宋_GB2312" w:eastAsia="仿宋_GB2312"/>
                <w:szCs w:val="32"/>
              </w:rPr>
              <w:pict>
                <v:shape id="文本框 5" o:spid="_x0000_s2054" o:spt="202" type="#_x0000_t202" style="position:absolute;left:0pt;margin-left:80.4pt;margin-top:2.8pt;height:18.15pt;width:14.1pt;z-index:251663360;mso-width-relative:page;mso-height-relative:page;" filled="f" stroked="f" coordsize="21600,21600" o:gfxdata="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AVfQfg2AAAAAkBAAAPAAAAAAAAAAEAIAAAACIAAABkcnMvZG93bnJldi54bWxQ&#10;SwECFAAUAAAACACHTuJAD9Yuy74BAAB/AwAADgAAAAAAAAABACAAAAAnAQAAZHJzL2Uyb0RvYy54&#10;bWxQSwUGAAAAAAYABgBZAQAAVwUAAAAA&#10;">
                  <v:path/>
                  <v:fill on="f" focussize="0,0"/>
                  <v:stroke on="f" joinstyle="miter"/>
                  <v:imagedata o:title=""/>
                  <o:lock v:ext="edit"/>
                  <v:textbox inset="0mm,0mm,0mm,0mm">
                    <w:txbxContent>
                      <w:p>
                        <w:pPr>
                          <w:snapToGrid w:val="0"/>
                        </w:pPr>
                        <w:r>
                          <w:rPr>
                            <w:sz w:val="28"/>
                            <w:szCs w:val="28"/>
                          </w:rPr>
                          <w:t>限</w:t>
                        </w:r>
                      </w:p>
                    </w:txbxContent>
                  </v:textbox>
                </v:shape>
              </w:pict>
            </w:r>
            <w:r>
              <w:rPr>
                <w:rFonts w:ascii="仿宋_GB2312" w:eastAsia="仿宋_GB2312"/>
                <w:szCs w:val="32"/>
              </w:rPr>
              <w:pict>
                <v:shape id="文本框 4" o:spid="_x0000_s2055" o:spt="202" type="#_x0000_t202" style="position:absolute;left:0pt;margin-left:40.5pt;margin-top:1.05pt;height:18.65pt;width:16.45pt;z-index:251662336;mso-width-relative:page;mso-height-relative:page;" filled="f" stroked="f" coordsize="21600,21600" o:gfxdata="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C31qNX1wAAAAgBAAAPAAAAAAAAAAEAIAAAACIAAABkcnMvZG93bnJldi54bWxQ&#10;SwECFAAUAAAACACHTuJAzmy3Jr8BAAB/AwAADgAAAAAAAAABACAAAAAmAQAAZHJzL2Uyb0RvYy54&#10;bWxQSwUGAAAAAAYABgBZAQAAVwUAAAAA&#10;">
                  <v:path/>
                  <v:fill on="f" focussize="0,0"/>
                  <v:stroke on="f" joinstyle="miter"/>
                  <v:imagedata o:title=""/>
                  <o:lock v:ext="edit"/>
                  <v:textbox inset="0mm,0mm,0mm,0mm">
                    <w:txbxContent>
                      <w:p>
                        <w:pPr>
                          <w:snapToGrid w:val="0"/>
                          <w:rPr>
                            <w:sz w:val="28"/>
                            <w:szCs w:val="28"/>
                          </w:rPr>
                        </w:pPr>
                        <w:r>
                          <w:rPr>
                            <w:sz w:val="28"/>
                            <w:szCs w:val="28"/>
                          </w:rPr>
                          <w:t>年</w:t>
                        </w:r>
                      </w:p>
                    </w:txbxContent>
                  </v:textbox>
                </v:shape>
              </w:pict>
            </w:r>
            <w:r>
              <w:rPr>
                <w:rFonts w:ascii="仿宋_GB2312" w:eastAsia="仿宋_GB2312"/>
                <w:szCs w:val="32"/>
              </w:rPr>
              <w:pict>
                <v:shape id="文本框 1" o:spid="_x0000_s2056" o:spt="202" type="#_x0000_t202" style="position:absolute;left:0pt;margin-left:70.75pt;margin-top:44.25pt;height:13.7pt;width:18.1pt;z-index:251659264;mso-width-relative:page;mso-height-relative:page;" filled="f" stroked="f" coordsize="21600,21600" o:gfxdata="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CkoeDZ2AAAAAoBAAAPAAAAAAAAAAEAIAAAACIAAABkcnMvZG93bnJldi54bWxQ&#10;SwECFAAUAAAACACHTuJACSSYlb4BAAB/AwAADgAAAAAAAAABACAAAAAnAQAAZHJzL2Uyb0RvYy54&#10;bWxQSwUGAAAAAAYABgBZAQAAVwUAAAAA&#10;">
                  <v:path/>
                  <v:fill on="f" focussize="0,0"/>
                  <v:stroke on="f" joinstyle="miter"/>
                  <v:imagedata o:title=""/>
                  <o:lock v:ext="edit"/>
                  <v:textbox inset="0mm,0mm,0mm,0mm">
                    <w:txbxContent>
                      <w:p>
                        <w:pPr>
                          <w:snapToGrid w:val="0"/>
                          <w:rPr>
                            <w:sz w:val="28"/>
                            <w:szCs w:val="28"/>
                          </w:rPr>
                        </w:pPr>
                        <w:r>
                          <w:rPr>
                            <w:sz w:val="28"/>
                            <w:szCs w:val="28"/>
                          </w:rPr>
                          <w:t>%</w:t>
                        </w:r>
                      </w:p>
                    </w:txbxContent>
                  </v:textbox>
                </v:shape>
              </w:pict>
            </w:r>
            <w:r>
              <w:rPr>
                <w:rFonts w:ascii="仿宋_GB2312" w:eastAsia="仿宋_GB2312"/>
                <w:szCs w:val="32"/>
              </w:rPr>
              <w:pict>
                <v:shape id="文本框 2" o:spid="_x0000_s2057" o:spt="202" type="#_x0000_t202" style="position:absolute;left:0pt;margin-left:58.05pt;margin-top:30.85pt;height:22.45pt;width:18.1pt;z-index:251660288;mso-width-relative:page;mso-height-relative:page;" filled="f" stroked="f" coordsize="21600,21600" o:gfxdata="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jeL011wAAAAoBAAAPAAAAAAAAAAEAIAAAACIAAABkcnMvZG93bnJldi54bWxQSwEC&#10;FAAUAAAACACHTuJAKv27PLwBAAB/AwAADgAAAAAAAAABACAAAAAmAQAAZHJzL2Uyb0RvYy54bWxQ&#10;SwUGAAAAAAYABgBZAQAAVAUAAAAA&#10;">
                  <v:path/>
                  <v:fill on="f" focussize="0,0"/>
                  <v:stroke on="f" joinstyle="miter"/>
                  <v:imagedata o:title=""/>
                  <o:lock v:ext="edit"/>
                  <v:textbox inset="0mm,0mm,0mm,0mm">
                    <w:txbxContent>
                      <w:p>
                        <w:pPr>
                          <w:snapToGrid w:val="0"/>
                        </w:pPr>
                        <w:r>
                          <w:rPr>
                            <w:sz w:val="28"/>
                            <w:szCs w:val="28"/>
                          </w:rPr>
                          <w:t>数</w:t>
                        </w:r>
                      </w:p>
                    </w:txbxContent>
                  </v:textbox>
                </v:shape>
              </w:pict>
            </w:r>
            <w:r>
              <w:rPr>
                <w:rFonts w:ascii="仿宋_GB2312" w:eastAsia="仿宋_GB2312"/>
                <w:szCs w:val="32"/>
              </w:rPr>
              <w:pict>
                <v:shape id="文本框 3" o:spid="_x0000_s2058" o:spt="202" type="#_x0000_t202" style="position:absolute;left:0pt;margin-left:38.35pt;margin-top:24.85pt;height:13.15pt;width:14.1pt;z-index:251661312;mso-width-relative:page;mso-height-relative:page;" filled="f" stroked="f" coordsize="21600,21600" o:gfxdata="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AND+bj1gAAAAgBAAAPAAAAAAAAAAEAIAAAACIAAABkcnMvZG93bnJldi54bWxQSwEC&#10;FAAUAAAACACHTuJAlIC/mb0BAAB/AwAADgAAAAAAAAABACAAAAAlAQAAZHJzL2Uyb0RvYy54bWxQ&#10;SwUGAAAAAAYABgBZAQAAVAUAAAAA&#10;">
                  <v:path/>
                  <v:fill on="f" focussize="0,0"/>
                  <v:stroke on="f" joinstyle="miter"/>
                  <v:imagedata o:title=""/>
                  <o:lock v:ext="edit"/>
                  <v:textbox inset="0mm,0mm,0mm,0mm">
                    <w:txbxContent>
                      <w:p>
                        <w:pPr>
                          <w:snapToGrid w:val="0"/>
                          <w:rPr>
                            <w:sz w:val="28"/>
                            <w:szCs w:val="28"/>
                          </w:rPr>
                        </w:pPr>
                        <w:r>
                          <w:rPr>
                            <w:sz w:val="28"/>
                            <w:szCs w:val="28"/>
                          </w:rPr>
                          <w:t>系</w:t>
                        </w:r>
                      </w:p>
                    </w:txbxContent>
                  </v:textbox>
                </v:shape>
              </w:pict>
            </w:r>
            <w:r>
              <w:rPr>
                <w:rFonts w:ascii="仿宋_GB2312" w:eastAsia="仿宋_GB2312"/>
                <w:szCs w:val="32"/>
              </w:rPr>
              <w:pict>
                <v:line id="直接连接符 6" o:spid="_x0000_s2059" o:spt="20" style="position:absolute;left:0pt;margin-left:-4.55pt;margin-top:0.35pt;height:39.9pt;width:104.45pt;z-index:251664384;mso-width-relative:page;mso-height-relative:page;" coordsize="21600,21600" o:gfxdata="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kMhJo0wAAAAYBAAAPAAAAAAAAAAEAIAAAACIAAABkcnMvZG93bnJldi54&#10;bWxQSwECFAAUAAAACACHTuJAFd/tl/8BAAD3AwAADgAAAAAAAAABACAAAAAiAQAAZHJzL2Uyb0Rv&#10;Yy54bWxQSwUGAAAAAAYABgBZAQAAkwUAAAAA&#10;">
                  <v:path arrowok="t"/>
                  <v:fill focussize="0,0"/>
                  <v:stroke weight="0.5pt"/>
                  <v:imagedata o:title=""/>
                  <o:lock v:ext="edit"/>
                </v:line>
              </w:pict>
            </w:r>
            <w:r>
              <w:rPr>
                <w:rFonts w:ascii="仿宋_GB2312" w:eastAsia="仿宋_GB2312"/>
                <w:szCs w:val="32"/>
              </w:rPr>
              <w:pict>
                <v:line id="直接连接符 7" o:spid="_x0000_s2060" o:spt="20" style="position:absolute;left:0pt;margin-left:-3.55pt;margin-top:1.5pt;height:61.65pt;width:71.35pt;z-index:251664384;mso-width-relative:page;mso-height-relative:page;" coordsize="21600,21600" o:gfxdata="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Om+ilNUAAAAIAQAADwAAAAAAAAABACAAAAAiAAAAZHJzL2Rvd25yZXYu&#10;eG1sUEsBAhQAFAAAAAgAh07iQJHasLT+AQAA9gMAAA4AAAAAAAAAAQAgAAAAJAEAAGRycy9lMm9E&#10;b2MueG1sUEsFBgAAAAAGAAYAWQEAAJQFAAAAAA==&#10;">
                  <v:path arrowok="t"/>
                  <v:fill focussize="0,0"/>
                  <v:stroke weight="0.5pt"/>
                  <v:imagedata o:title=""/>
                  <o:lock v:ext="edit"/>
                </v:line>
              </w:pict>
            </w:r>
          </w:p>
        </w:tc>
        <w:tc>
          <w:tcPr>
            <w:tcW w:w="1608"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仿宋_GB2312" w:eastAsia="仿宋_GB2312"/>
                <w:szCs w:val="32"/>
              </w:rPr>
            </w:pPr>
            <w:r>
              <w:rPr>
                <w:rFonts w:hint="eastAsia" w:ascii="仿宋_GB2312" w:eastAsia="仿宋_GB2312"/>
                <w:szCs w:val="32"/>
              </w:rPr>
              <w:t>13年以上</w:t>
            </w:r>
          </w:p>
        </w:tc>
        <w:tc>
          <w:tcPr>
            <w:tcW w:w="1608"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仿宋_GB2312" w:eastAsia="仿宋_GB2312"/>
                <w:szCs w:val="32"/>
              </w:rPr>
            </w:pPr>
            <w:r>
              <w:rPr>
                <w:rFonts w:hint="eastAsia" w:ascii="仿宋_GB2312" w:eastAsia="仿宋_GB2312"/>
                <w:szCs w:val="32"/>
              </w:rPr>
              <w:t>9年以上13年以下</w:t>
            </w:r>
          </w:p>
        </w:tc>
        <w:tc>
          <w:tcPr>
            <w:tcW w:w="1608"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仿宋_GB2312" w:eastAsia="仿宋_GB2312"/>
                <w:szCs w:val="32"/>
              </w:rPr>
            </w:pPr>
            <w:r>
              <w:rPr>
                <w:rFonts w:hint="eastAsia" w:ascii="仿宋_GB2312" w:eastAsia="仿宋_GB2312"/>
                <w:szCs w:val="32"/>
              </w:rPr>
              <w:t>3年以上</w:t>
            </w:r>
          </w:p>
          <w:p>
            <w:pPr>
              <w:spacing w:line="480" w:lineRule="exact"/>
              <w:jc w:val="center"/>
              <w:rPr>
                <w:rFonts w:ascii="仿宋_GB2312" w:eastAsia="仿宋_GB2312"/>
                <w:szCs w:val="32"/>
              </w:rPr>
            </w:pPr>
            <w:r>
              <w:rPr>
                <w:rFonts w:hint="eastAsia" w:ascii="仿宋_GB2312" w:eastAsia="仿宋_GB2312"/>
                <w:szCs w:val="32"/>
              </w:rPr>
              <w:t>9年以下</w:t>
            </w:r>
          </w:p>
        </w:tc>
        <w:tc>
          <w:tcPr>
            <w:tcW w:w="1788"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仿宋_GB2312" w:eastAsia="仿宋_GB2312"/>
                <w:szCs w:val="32"/>
              </w:rPr>
            </w:pPr>
            <w:r>
              <w:rPr>
                <w:rFonts w:hint="eastAsia" w:ascii="仿宋_GB2312" w:eastAsia="仿宋_GB2312"/>
                <w:szCs w:val="32"/>
              </w:rPr>
              <w:t>3年以下</w:t>
            </w:r>
          </w:p>
          <w:p>
            <w:pPr>
              <w:spacing w:line="480" w:lineRule="exact"/>
              <w:jc w:val="center"/>
              <w:rPr>
                <w:rFonts w:ascii="仿宋_GB2312" w:eastAsia="仿宋_GB2312"/>
                <w:szCs w:val="32"/>
              </w:rPr>
            </w:pPr>
            <w:r>
              <w:rPr>
                <w:rFonts w:hint="eastAsia" w:ascii="仿宋_GB2312" w:eastAsia="仿宋_GB2312"/>
                <w:szCs w:val="32"/>
              </w:rPr>
              <w:t>半年以上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jc w:val="center"/>
        </w:trPr>
        <w:tc>
          <w:tcPr>
            <w:tcW w:w="2115" w:type="dxa"/>
            <w:tcBorders>
              <w:top w:val="single" w:color="auto" w:sz="4" w:space="0"/>
              <w:left w:val="single" w:color="auto" w:sz="4" w:space="0"/>
              <w:bottom w:val="single" w:color="auto" w:sz="4" w:space="0"/>
              <w:right w:val="single" w:color="auto" w:sz="4" w:space="0"/>
            </w:tcBorders>
          </w:tcPr>
          <w:p>
            <w:pPr>
              <w:spacing w:line="480" w:lineRule="exact"/>
              <w:jc w:val="center"/>
              <w:rPr>
                <w:rFonts w:ascii="仿宋_GB2312" w:eastAsia="仿宋_GB2312"/>
                <w:szCs w:val="32"/>
              </w:rPr>
            </w:pPr>
            <w:r>
              <w:rPr>
                <w:rFonts w:hint="eastAsia" w:ascii="仿宋_GB2312" w:eastAsia="仿宋_GB2312"/>
                <w:szCs w:val="32"/>
              </w:rPr>
              <w:t>集体所有</w:t>
            </w:r>
          </w:p>
        </w:tc>
        <w:tc>
          <w:tcPr>
            <w:tcW w:w="1608"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仿宋_GB2312" w:eastAsia="仿宋_GB2312"/>
                <w:szCs w:val="32"/>
              </w:rPr>
            </w:pPr>
            <w:r>
              <w:rPr>
                <w:rFonts w:hint="eastAsia" w:ascii="仿宋_GB2312" w:eastAsia="仿宋_GB2312"/>
                <w:szCs w:val="32"/>
              </w:rPr>
              <w:t>38</w:t>
            </w:r>
          </w:p>
        </w:tc>
        <w:tc>
          <w:tcPr>
            <w:tcW w:w="1608"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仿宋_GB2312" w:eastAsia="仿宋_GB2312"/>
                <w:szCs w:val="32"/>
              </w:rPr>
            </w:pPr>
            <w:r>
              <w:rPr>
                <w:rFonts w:hint="eastAsia" w:ascii="仿宋_GB2312" w:eastAsia="仿宋_GB2312"/>
                <w:szCs w:val="32"/>
              </w:rPr>
              <w:t>33</w:t>
            </w:r>
          </w:p>
        </w:tc>
        <w:tc>
          <w:tcPr>
            <w:tcW w:w="1608"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仿宋_GB2312" w:eastAsia="仿宋_GB2312"/>
                <w:szCs w:val="32"/>
              </w:rPr>
            </w:pPr>
            <w:r>
              <w:rPr>
                <w:rFonts w:hint="eastAsia" w:ascii="仿宋_GB2312" w:eastAsia="仿宋_GB2312"/>
                <w:szCs w:val="32"/>
              </w:rPr>
              <w:t>28</w:t>
            </w:r>
          </w:p>
        </w:tc>
        <w:tc>
          <w:tcPr>
            <w:tcW w:w="1788"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仿宋_GB2312" w:eastAsia="仿宋_GB2312"/>
                <w:szCs w:val="32"/>
              </w:rPr>
            </w:pPr>
            <w:r>
              <w:rPr>
                <w:rFonts w:hint="eastAsia" w:ascii="仿宋_GB2312" w:eastAsia="仿宋_GB2312"/>
                <w:szCs w:val="32"/>
              </w:rPr>
              <w:t>23</w:t>
            </w:r>
          </w:p>
        </w:tc>
      </w:tr>
    </w:tbl>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 xml:space="preserve"> 说明：①本表所列年限以上数包括本数，以下数不包括本数。</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②按上述标准补贴的金额如低于被拆住宅按商业用途的市场评估价格的8%，则按商业用途的市场评估价格的8%进行补贴。</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（2）利用合法住宅从事工业、办公和其他生产经营活动的补贴标准，为非住宅一次性经济补贴费标准的80%。</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（3）从事生产经营活动的房屋面积根据经营现状结合结构自然间进行核定。</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5.斜面结构屋的补偿费</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（1）被拆迁房屋的斜面结构屋（不分是否计层）只补偿不安置，不能作为被拆迁房屋的主体面积计入可安置面积。安置房屋的斜面结构屋（不分是否计层）只结算不计入实际安置面积。</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（2）补偿与结算。斜面结构屋（不分是否计层）按重置价结合成新给予补偿。</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（3）其他费用补偿。斜面结构屋的搬家补贴费、临时过渡费、货币奖励及非住宅房屋斜面结构屋的一次性经济补贴费，均按主体房屋计发标准的40%计发。</w:t>
      </w:r>
    </w:p>
    <w:p>
      <w:pPr>
        <w:spacing w:line="560" w:lineRule="exact"/>
        <w:ind w:firstLine="640" w:firstLineChars="200"/>
        <w:rPr>
          <w:rFonts w:ascii="仿宋_GB2312" w:eastAsia="仿宋_GB2312" w:cs="仿宋_GB2312"/>
          <w:szCs w:val="32"/>
        </w:rPr>
      </w:pPr>
      <w:r>
        <w:rPr>
          <w:rFonts w:hint="eastAsia" w:ascii="楷体" w:hAnsi="楷体" w:eastAsia="楷体" w:cs="楷体"/>
          <w:szCs w:val="32"/>
        </w:rPr>
        <w:t>（三）非住宅房屋补偿和安置</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1.本项目拆迁红线范围内的非住宅用房，对被拆迁人应当实行货币安置。补偿金额由房地产评估机构评估确定，另再按评估价值（不包括装修、附属物等）增加5%的货币补偿资金。</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2.因拆迁非住宅房屋造成被拆迁人停产、停业以及生产、经营设备设施搬迁、过渡的，拆迁人应当根据被拆房屋的建筑面积，结合被拆房屋用途、地段、经营状况等因素，支付一次性经济补贴费。补贴标准为：</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（1）商业用房：按商业用房市场评估价格的10%计算；</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（2）工业用房为每平方米建筑面积400元计算；</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（3）办公和其他非住宅房屋为每平方米建筑面积350元计算。</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列入拆迁时已停业闲置实际未作非住宅用房使用或改作住宅用房使用的，不给予非住宅房屋一次性经济补贴费。</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3.对被拆迁房屋中无法恢复使用的电梯、中央空调、通讯设备等重大设施设备以及被拆迁房屋的装饰费用，在评估机构按照重置价格结合成新进行评估后予以补偿。</w:t>
      </w:r>
    </w:p>
    <w:p>
      <w:pPr>
        <w:spacing w:line="520" w:lineRule="exact"/>
        <w:ind w:firstLine="640" w:firstLineChars="200"/>
        <w:rPr>
          <w:rFonts w:ascii="黑体" w:eastAsia="黑体" w:cs="黑体"/>
          <w:szCs w:val="32"/>
        </w:rPr>
      </w:pPr>
      <w:r>
        <w:rPr>
          <w:rFonts w:hint="eastAsia" w:ascii="黑体" w:eastAsia="黑体" w:cs="黑体"/>
          <w:szCs w:val="32"/>
        </w:rPr>
        <w:t>五、拆迁奖励和补助</w:t>
      </w:r>
    </w:p>
    <w:p>
      <w:pPr>
        <w:spacing w:line="560" w:lineRule="exact"/>
        <w:ind w:firstLine="640" w:firstLineChars="200"/>
        <w:rPr>
          <w:rFonts w:ascii="楷体" w:hAnsi="楷体" w:eastAsia="楷体" w:cs="楷体"/>
          <w:szCs w:val="32"/>
        </w:rPr>
      </w:pPr>
      <w:r>
        <w:rPr>
          <w:rFonts w:hint="eastAsia" w:ascii="楷体" w:hAnsi="楷体" w:eastAsia="楷体" w:cs="楷体"/>
          <w:szCs w:val="32"/>
        </w:rPr>
        <w:t>（一）住宅房屋的补助</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被拆迁人在签约期限内签订拆迁补偿安置协议的，给予建筑面积补助。补助标准为：被拆迁房屋合法建筑面积小于等于人均60平方米的，每个安置人口补助20平方米建筑面积；被拆迁房屋合法建筑面积超过人均60平方米不足人均80平方米的，补助建筑面积为按安置人口人均80平方米计算的总面积减去被拆迁房屋合法建筑面积；被拆迁房屋合法建筑面积超过人均80平方米的，不再给予建筑面积补助。补助的建筑面积计入可安置面积。其中，按《若干规定》第二十五条第一款第（二）项规定的情形进行补偿安置的，不再给予建筑面积补助。</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被拆迁人超过签约期限签约的，补助建筑面积标准为：超过签约期限一个月内签约的，补助建筑面积按上述标准的95%予以补助；超过签约期限二个月内签约的，补助建筑面积按上述标准的80%予以补助；超过签约期限三个月内签约的，补助建筑面积按上述标准的60%予以补助；超过签约期限三个月签约的，不予建筑面积补助。</w:t>
      </w:r>
    </w:p>
    <w:p>
      <w:pPr>
        <w:spacing w:line="560" w:lineRule="exact"/>
        <w:ind w:firstLine="640" w:firstLineChars="200"/>
        <w:rPr>
          <w:rFonts w:ascii="楷体" w:hAnsi="楷体" w:eastAsia="楷体" w:cs="楷体"/>
          <w:szCs w:val="32"/>
        </w:rPr>
      </w:pPr>
      <w:r>
        <w:rPr>
          <w:rFonts w:hint="eastAsia" w:ascii="楷体" w:hAnsi="楷体" w:eastAsia="楷体" w:cs="楷体"/>
          <w:szCs w:val="32"/>
        </w:rPr>
        <w:t>（二）住宅房屋的奖励</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被拆迁人按拆迁补偿安置协议约定的期限搬迁交付被拆迁房屋的，给予货币奖励。奖励标准按被拆迁房屋合法建筑面积每平方米200元计算。</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被拆迁人超过协议约定的期限搬迁交付被拆迁房屋的，货币奖励金额按上述标准逐步扣减，即每超一天扣减5%，直至扣完。</w:t>
      </w:r>
    </w:p>
    <w:p>
      <w:pPr>
        <w:spacing w:line="560" w:lineRule="exact"/>
        <w:ind w:firstLine="640" w:firstLineChars="200"/>
        <w:rPr>
          <w:rFonts w:ascii="楷体" w:hAnsi="楷体" w:eastAsia="楷体" w:cs="楷体"/>
          <w:szCs w:val="32"/>
        </w:rPr>
      </w:pPr>
      <w:r>
        <w:rPr>
          <w:rFonts w:hint="eastAsia" w:ascii="楷体" w:hAnsi="楷体" w:eastAsia="楷体" w:cs="楷体"/>
          <w:szCs w:val="32"/>
        </w:rPr>
        <w:t>（三）非住宅房屋的奖励</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非住宅房屋的被拆迁人，在签约期限内签约并按协议约定的期限交付被拆迁房屋的，按被拆迁房屋评估价值（不包括装修、附属物等）的5%给予货币奖励。</w:t>
      </w:r>
    </w:p>
    <w:p>
      <w:pPr>
        <w:spacing w:line="560" w:lineRule="exact"/>
        <w:ind w:firstLine="640" w:firstLineChars="200"/>
        <w:rPr>
          <w:rFonts w:hint="eastAsia" w:ascii="仿宋_GB2312" w:eastAsia="仿宋_GB2312" w:cs="仿宋_GB2312"/>
          <w:szCs w:val="32"/>
        </w:rPr>
      </w:pPr>
      <w:r>
        <w:rPr>
          <w:rFonts w:hint="eastAsia" w:ascii="仿宋_GB2312" w:eastAsia="仿宋_GB2312" w:cs="仿宋_GB2312"/>
          <w:szCs w:val="32"/>
        </w:rPr>
        <w:t>被拆迁人超过协议约定期限搬迁交付被拆迁房屋的，货币奖励金额按上述标准逐步扣减，即每超一天扣减5%，直至扣完。被拆迁人未在签约期限内签约的，不给予货币奖励。</w:t>
      </w:r>
    </w:p>
    <w:p>
      <w:pPr>
        <w:spacing w:line="560" w:lineRule="exact"/>
        <w:ind w:firstLine="640" w:firstLineChars="200"/>
        <w:rPr>
          <w:rFonts w:hint="eastAsia" w:ascii="楷体" w:hAnsi="楷体" w:eastAsia="楷体" w:cs="楷体"/>
          <w:szCs w:val="32"/>
          <w:lang w:eastAsia="zh-CN"/>
        </w:rPr>
      </w:pPr>
      <w:r>
        <w:rPr>
          <w:rFonts w:hint="eastAsia" w:ascii="楷体" w:hAnsi="楷体" w:eastAsia="楷体" w:cs="楷体"/>
          <w:szCs w:val="32"/>
        </w:rPr>
        <w:t>（</w:t>
      </w:r>
      <w:r>
        <w:rPr>
          <w:rFonts w:hint="eastAsia" w:ascii="楷体" w:hAnsi="楷体" w:eastAsia="楷体" w:cs="楷体"/>
          <w:szCs w:val="32"/>
          <w:lang w:eastAsia="zh-CN"/>
        </w:rPr>
        <w:t>四</w:t>
      </w:r>
      <w:r>
        <w:rPr>
          <w:rFonts w:hint="eastAsia" w:ascii="楷体" w:hAnsi="楷体" w:eastAsia="楷体" w:cs="楷体"/>
          <w:szCs w:val="32"/>
        </w:rPr>
        <w:t>）</w:t>
      </w:r>
      <w:r>
        <w:rPr>
          <w:rFonts w:hint="eastAsia" w:ascii="楷体" w:hAnsi="楷体" w:eastAsia="楷体" w:cs="楷体"/>
          <w:szCs w:val="32"/>
          <w:lang w:eastAsia="zh-CN"/>
        </w:rPr>
        <w:t>房票购房补助和购房奖励</w:t>
      </w:r>
    </w:p>
    <w:p>
      <w:pPr>
        <w:spacing w:line="560" w:lineRule="exact"/>
        <w:ind w:firstLine="640" w:firstLineChars="200"/>
        <w:rPr>
          <w:rFonts w:hint="eastAsia" w:ascii="仿宋_GB2312" w:eastAsia="仿宋_GB2312" w:cs="仿宋_GB2312"/>
          <w:szCs w:val="32"/>
          <w:lang w:val="en-US" w:eastAsia="zh-CN"/>
        </w:rPr>
      </w:pPr>
      <w:r>
        <w:rPr>
          <w:rFonts w:hint="eastAsia" w:ascii="仿宋_GB2312" w:eastAsia="仿宋_GB2312" w:cs="仿宋_GB2312"/>
          <w:szCs w:val="32"/>
          <w:lang w:val="en-US" w:eastAsia="zh-CN"/>
        </w:rPr>
        <w:t xml:space="preserve">1.房票持票人可购买宁波市行政区域内新建商品住宅（含车库、车位、储藏间）、二手住宅（含车库、车位、储藏间）以及商业、办公用房。  </w:t>
      </w:r>
    </w:p>
    <w:p>
      <w:pPr>
        <w:spacing w:line="560" w:lineRule="exact"/>
        <w:ind w:firstLine="640" w:firstLineChars="200"/>
        <w:rPr>
          <w:rFonts w:hint="eastAsia" w:ascii="仿宋_GB2312" w:eastAsia="仿宋_GB2312" w:cs="仿宋_GB2312"/>
          <w:szCs w:val="32"/>
          <w:lang w:val="en-US" w:eastAsia="zh-CN"/>
        </w:rPr>
      </w:pPr>
      <w:r>
        <w:rPr>
          <w:rFonts w:hint="eastAsia" w:ascii="仿宋_GB2312" w:eastAsia="仿宋_GB2312" w:cs="仿宋_GB2312"/>
          <w:szCs w:val="32"/>
          <w:lang w:val="en-US" w:eastAsia="zh-CN"/>
        </w:rPr>
        <w:t>2.</w:t>
      </w:r>
      <w:r>
        <w:rPr>
          <w:rFonts w:hint="eastAsia" w:ascii="仿宋_GB2312" w:eastAsia="仿宋_GB2312" w:cs="仿宋_GB2312"/>
          <w:szCs w:val="32"/>
          <w:lang w:eastAsia="zh-CN"/>
        </w:rPr>
        <w:t>房票持票人在房票开具之日起</w:t>
      </w:r>
      <w:r>
        <w:rPr>
          <w:rFonts w:hint="eastAsia" w:ascii="仿宋_GB2312" w:eastAsia="仿宋_GB2312" w:cs="仿宋_GB2312"/>
          <w:szCs w:val="32"/>
          <w:lang w:val="en-US" w:eastAsia="zh-CN"/>
        </w:rPr>
        <w:t>12个月以内购买宁波市行政区域内住宅用房（含车库、车位、储藏间）的，按照被补偿人货币补偿资金（不含货币安置补偿增加和奖励部分）的10%给予补助。购房补助资金发放对象为被补偿人。</w:t>
      </w:r>
    </w:p>
    <w:p>
      <w:pPr>
        <w:spacing w:line="560" w:lineRule="exact"/>
        <w:ind w:firstLine="640" w:firstLineChars="200"/>
        <w:rPr>
          <w:rFonts w:hint="eastAsia" w:ascii="仿宋_GB2312" w:eastAsia="仿宋_GB2312" w:cs="仿宋_GB2312"/>
          <w:szCs w:val="32"/>
          <w:lang w:eastAsia="zh-CN"/>
        </w:rPr>
      </w:pPr>
      <w:r>
        <w:rPr>
          <w:rFonts w:hint="eastAsia" w:ascii="仿宋_GB2312" w:eastAsia="仿宋_GB2312" w:cs="仿宋_GB2312"/>
          <w:szCs w:val="32"/>
          <w:lang w:val="en-US" w:eastAsia="zh-CN"/>
        </w:rPr>
        <w:t>3.</w:t>
      </w:r>
      <w:r>
        <w:rPr>
          <w:rFonts w:hint="eastAsia" w:ascii="仿宋_GB2312" w:eastAsia="仿宋_GB2312" w:cs="仿宋_GB2312"/>
          <w:szCs w:val="32"/>
          <w:lang w:eastAsia="zh-CN"/>
        </w:rPr>
        <w:t>房票持票人在房票出具之日</w:t>
      </w:r>
      <w:r>
        <w:rPr>
          <w:rFonts w:hint="eastAsia" w:ascii="仿宋_GB2312" w:eastAsia="仿宋_GB2312" w:cs="仿宋_GB2312"/>
          <w:szCs w:val="32"/>
          <w:lang w:val="en-US" w:eastAsia="zh-CN"/>
        </w:rPr>
        <w:t>起12个月</w:t>
      </w:r>
      <w:r>
        <w:rPr>
          <w:rFonts w:hint="eastAsia" w:ascii="仿宋_GB2312" w:eastAsia="仿宋_GB2312" w:cs="仿宋_GB2312"/>
          <w:szCs w:val="32"/>
          <w:lang w:eastAsia="zh-CN"/>
        </w:rPr>
        <w:t>内购买慈溪市行政区域内（不包括前湾新区管理的镇、街道）的新建商品住宅(含车库、车位、储藏间)的，可向慈溪市房屋征收所申请购房奖励，</w:t>
      </w:r>
      <w:r>
        <w:rPr>
          <w:rFonts w:hint="eastAsia" w:ascii="仿宋_GB2312" w:eastAsia="仿宋_GB2312" w:cs="仿宋_GB2312"/>
          <w:szCs w:val="32"/>
          <w:lang w:val="en-US" w:eastAsia="zh-CN"/>
        </w:rPr>
        <w:t>奖励标准</w:t>
      </w:r>
      <w:r>
        <w:rPr>
          <w:rFonts w:hint="eastAsia" w:ascii="仿宋_GB2312" w:eastAsia="仿宋_GB2312" w:cs="仿宋_GB2312"/>
          <w:szCs w:val="32"/>
          <w:lang w:eastAsia="zh-CN"/>
        </w:rPr>
        <w:t>为</w:t>
      </w:r>
      <w:r>
        <w:rPr>
          <w:rFonts w:hint="eastAsia" w:ascii="仿宋_GB2312" w:eastAsia="仿宋_GB2312" w:cs="仿宋_GB2312"/>
          <w:szCs w:val="32"/>
          <w:lang w:val="en-US" w:eastAsia="zh-CN"/>
        </w:rPr>
        <w:t>被补偿人货币补偿资金（不含货币安置补偿增加和奖励部分）的10%。在房票出具之日起12个月内购买宁波市行政区域内其他区（县、市）内新建商品住宅（含车库、车位、储藏间）的，按照当地房票购房奖励标准向当地人民政府申请购房奖励。</w:t>
      </w:r>
      <w:r>
        <w:rPr>
          <w:rFonts w:hint="eastAsia" w:ascii="仿宋_GB2312" w:eastAsia="仿宋_GB2312" w:cs="仿宋_GB2312"/>
          <w:szCs w:val="32"/>
          <w:lang w:eastAsia="zh-CN"/>
        </w:rPr>
        <w:t>购房奖励资金发放对象为持票人。</w:t>
      </w:r>
    </w:p>
    <w:p>
      <w:pPr>
        <w:spacing w:line="560" w:lineRule="exact"/>
        <w:ind w:firstLine="640" w:firstLineChars="200"/>
        <w:rPr>
          <w:rFonts w:hint="eastAsia" w:ascii="仿宋_GB2312" w:eastAsia="仿宋_GB2312" w:cs="仿宋_GB2312"/>
          <w:szCs w:val="32"/>
          <w:lang w:val="en-US" w:eastAsia="zh-CN"/>
        </w:rPr>
      </w:pPr>
      <w:r>
        <w:rPr>
          <w:rFonts w:hint="eastAsia" w:ascii="仿宋_GB2312" w:eastAsia="仿宋_GB2312" w:cs="仿宋_GB2312"/>
          <w:szCs w:val="32"/>
          <w:lang w:val="en-US" w:eastAsia="zh-CN"/>
        </w:rPr>
        <w:t>4.房票实行额度管理，可多次使用。购房后房票票面金额仍有结余的，持票人可使用结余资金再次购房，或者向市房屋征收所申请兑换成货币。开具房票后，未用于购房的，可即时向市房屋征收所申请兑换成货币。房票金额不计利息。</w:t>
      </w:r>
    </w:p>
    <w:p>
      <w:pPr>
        <w:spacing w:line="560" w:lineRule="exact"/>
        <w:ind w:firstLine="640" w:firstLineChars="200"/>
        <w:rPr>
          <w:rFonts w:hint="eastAsia" w:ascii="仿宋_GB2312" w:eastAsia="仿宋_GB2312" w:cs="仿宋_GB2312"/>
          <w:szCs w:val="32"/>
          <w:lang w:val="en-US" w:eastAsia="zh-CN"/>
        </w:rPr>
      </w:pPr>
      <w:r>
        <w:rPr>
          <w:rFonts w:hint="eastAsia" w:ascii="仿宋_GB2312" w:eastAsia="仿宋_GB2312" w:cs="仿宋_GB2312"/>
          <w:szCs w:val="32"/>
          <w:lang w:val="en-US" w:eastAsia="zh-CN"/>
        </w:rPr>
        <w:t>5.实际购房资金少于货币安置补偿资金的，按购房纳税凭证记载的价税合计资金的10%给予购房补助和购房奖励。超过购房期限购买住宅用房的，不予购房补助和购房奖励。购买现房凭不动产权证和购房纳税凭证，购买期房凭商品房网签备案的买卖合同和全款购房凭证申请购房补助和购房奖励。</w:t>
      </w:r>
    </w:p>
    <w:p>
      <w:pPr>
        <w:spacing w:line="520" w:lineRule="exact"/>
        <w:ind w:firstLine="640" w:firstLineChars="200"/>
        <w:rPr>
          <w:rFonts w:ascii="黑体" w:eastAsia="黑体" w:cs="黑体"/>
          <w:szCs w:val="32"/>
        </w:rPr>
      </w:pPr>
      <w:r>
        <w:rPr>
          <w:rFonts w:hint="eastAsia" w:ascii="黑体" w:eastAsia="黑体" w:cs="黑体"/>
          <w:szCs w:val="32"/>
        </w:rPr>
        <w:t>六、低限安置</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符合低限安置标准的被拆迁人，由拆迁人在拆迁范围内予以公示。公示日期不少于10日。公示期间内，对公示内容有异议的，异议人可向拆迁人提出，拆迁人应当予以查实。</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拆迁住宅房屋适用低限安置标准的且有下列情形之一的，应当合并计算其房屋建筑面积：</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（一）被拆迁人另有集体所有土地住宅房屋的（包括1984年1月1日后已出卖、赠与或析产的）</w:t>
      </w:r>
      <w:r>
        <w:rPr>
          <w:rFonts w:hint="eastAsia" w:ascii="仿宋_GB2312" w:eastAsia="仿宋_GB2312" w:cs="仿宋_GB2312"/>
          <w:szCs w:val="32"/>
          <w:lang w:eastAsia="zh-CN"/>
        </w:rPr>
        <w:t>，</w:t>
      </w:r>
      <w:r>
        <w:rPr>
          <w:rFonts w:hint="eastAsia" w:ascii="仿宋_GB2312" w:eastAsia="仿宋_GB2312" w:cs="仿宋_GB2312"/>
          <w:szCs w:val="32"/>
        </w:rPr>
        <w:t>但因析产转让房屋发生产权转移的，析出方合并计算后可安置面积不能达到人均低限安置标准的，按照人均低限安置标准确定可安置面积。</w:t>
      </w:r>
    </w:p>
    <w:p>
      <w:pPr>
        <w:spacing w:line="560" w:lineRule="exact"/>
        <w:ind w:firstLine="640" w:firstLineChars="200"/>
        <w:rPr>
          <w:rFonts w:hint="eastAsia" w:ascii="仿宋_GB2312" w:eastAsia="仿宋_GB2312" w:cs="仿宋_GB2312"/>
          <w:szCs w:val="32"/>
          <w:lang w:eastAsia="zh-CN"/>
        </w:rPr>
      </w:pPr>
      <w:r>
        <w:rPr>
          <w:rFonts w:hint="eastAsia" w:ascii="仿宋_GB2312" w:eastAsia="仿宋_GB2312" w:cs="仿宋_GB2312"/>
          <w:szCs w:val="32"/>
        </w:rPr>
        <w:t>（二）另以宅基地审批形式取得国有土地使用权的住宅房屋</w:t>
      </w:r>
      <w:r>
        <w:rPr>
          <w:rFonts w:hint="eastAsia" w:ascii="仿宋_GB2312" w:eastAsia="仿宋_GB2312" w:cs="仿宋_GB2312"/>
          <w:szCs w:val="32"/>
          <w:lang w:eastAsia="zh-CN"/>
        </w:rPr>
        <w:t>。</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（三）被拆迁人家庭具有常住户口且实际居住的人口在2人以上，而房屋产权属其中一人或数人所有的。</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（四）截至2025年</w:t>
      </w:r>
      <w:r>
        <w:rPr>
          <w:rFonts w:hint="eastAsia" w:ascii="仿宋_GB2312" w:eastAsia="仿宋_GB2312" w:cs="仿宋_GB2312"/>
          <w:szCs w:val="32"/>
          <w:lang w:val="en-US" w:eastAsia="zh-CN"/>
        </w:rPr>
        <w:t>10</w:t>
      </w:r>
      <w:r>
        <w:rPr>
          <w:rFonts w:hint="eastAsia" w:ascii="仿宋_GB2312" w:eastAsia="仿宋_GB2312" w:cs="仿宋_GB2312"/>
          <w:szCs w:val="32"/>
        </w:rPr>
        <w:t>月</w:t>
      </w:r>
      <w:r>
        <w:rPr>
          <w:rFonts w:hint="eastAsia" w:ascii="仿宋_GB2312" w:eastAsia="仿宋_GB2312" w:cs="仿宋_GB2312"/>
          <w:szCs w:val="32"/>
          <w:lang w:val="en-US" w:eastAsia="zh-CN"/>
        </w:rPr>
        <w:t>29</w:t>
      </w:r>
      <w:r>
        <w:rPr>
          <w:rFonts w:hint="eastAsia" w:ascii="仿宋_GB2312" w:eastAsia="仿宋_GB2312" w:cs="仿宋_GB2312"/>
          <w:szCs w:val="32"/>
        </w:rPr>
        <w:t>日离婚不足5年的，因离婚而发生被拆迁房屋产权转移的，离婚任何一方享受低限安置标准时应合并计算离婚后另一方所得的房屋建筑面积。</w:t>
      </w:r>
    </w:p>
    <w:p>
      <w:pPr>
        <w:spacing w:line="520" w:lineRule="exact"/>
        <w:ind w:firstLine="640" w:firstLineChars="200"/>
        <w:rPr>
          <w:rFonts w:ascii="黑体" w:eastAsia="黑体" w:cs="黑体"/>
          <w:szCs w:val="32"/>
        </w:rPr>
      </w:pPr>
      <w:r>
        <w:rPr>
          <w:rFonts w:hint="eastAsia" w:ascii="黑体" w:eastAsia="黑体" w:cs="黑体"/>
          <w:szCs w:val="32"/>
        </w:rPr>
        <w:t>七、契税问题</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契税按照税务部门规定进行抵免。</w:t>
      </w:r>
    </w:p>
    <w:p>
      <w:pPr>
        <w:spacing w:line="520" w:lineRule="exact"/>
        <w:ind w:firstLine="640" w:firstLineChars="200"/>
        <w:rPr>
          <w:rFonts w:ascii="黑体" w:eastAsia="黑体" w:cs="黑体"/>
          <w:szCs w:val="32"/>
        </w:rPr>
      </w:pPr>
      <w:r>
        <w:rPr>
          <w:rFonts w:hint="eastAsia" w:ascii="黑体" w:eastAsia="黑体" w:cs="黑体"/>
          <w:szCs w:val="32"/>
        </w:rPr>
        <w:t>八、补偿安置资金预算和落实</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本项目需货币安置资金约</w:t>
      </w:r>
      <w:r>
        <w:rPr>
          <w:rFonts w:hint="eastAsia" w:ascii="仿宋_GB2312" w:eastAsia="仿宋_GB2312" w:cs="仿宋_GB2312"/>
          <w:szCs w:val="32"/>
          <w:lang w:val="en-US" w:eastAsia="zh-CN"/>
        </w:rPr>
        <w:t>1.3亿元</w:t>
      </w:r>
      <w:r>
        <w:rPr>
          <w:rFonts w:hint="eastAsia" w:ascii="仿宋_GB2312" w:eastAsia="仿宋_GB2312" w:cs="仿宋_GB2312"/>
          <w:szCs w:val="32"/>
        </w:rPr>
        <w:t>，已全部落实。</w:t>
      </w:r>
    </w:p>
    <w:p>
      <w:pPr>
        <w:spacing w:line="520" w:lineRule="exact"/>
        <w:ind w:firstLine="640" w:firstLineChars="200"/>
        <w:rPr>
          <w:rFonts w:ascii="黑体" w:eastAsia="黑体" w:cs="黑体"/>
          <w:szCs w:val="32"/>
        </w:rPr>
      </w:pPr>
      <w:r>
        <w:rPr>
          <w:rFonts w:hint="eastAsia" w:ascii="黑体" w:eastAsia="黑体" w:cs="黑体"/>
          <w:szCs w:val="32"/>
        </w:rPr>
        <w:t>九、住宅房屋被拆迁人安置用房安排</w:t>
      </w:r>
    </w:p>
    <w:p>
      <w:pPr>
        <w:spacing w:line="560" w:lineRule="exact"/>
        <w:ind w:firstLine="640" w:firstLineChars="200"/>
        <w:rPr>
          <w:rFonts w:hint="eastAsia" w:ascii="仿宋_GB2312" w:eastAsia="仿宋_GB2312" w:cs="仿宋_GB2312"/>
          <w:szCs w:val="32"/>
          <w:lang w:val="en-US" w:eastAsia="zh-CN"/>
        </w:rPr>
      </w:pPr>
      <w:r>
        <w:rPr>
          <w:rFonts w:hint="eastAsia" w:ascii="楷体" w:hAnsi="楷体" w:eastAsia="楷体" w:cs="楷体"/>
          <w:szCs w:val="32"/>
        </w:rPr>
        <w:t>（</w:t>
      </w:r>
      <w:r>
        <w:rPr>
          <w:rFonts w:hint="eastAsia" w:ascii="楷体" w:hAnsi="楷体" w:eastAsia="楷体" w:cs="楷体"/>
          <w:szCs w:val="32"/>
          <w:lang w:val="en-US" w:eastAsia="zh-CN"/>
        </w:rPr>
        <w:t>一</w:t>
      </w:r>
      <w:r>
        <w:rPr>
          <w:rFonts w:hint="eastAsia" w:ascii="楷体" w:hAnsi="楷体" w:eastAsia="楷体" w:cs="楷体"/>
          <w:szCs w:val="32"/>
        </w:rPr>
        <w:t>）安置</w:t>
      </w:r>
      <w:r>
        <w:rPr>
          <w:rFonts w:hint="eastAsia" w:ascii="楷体" w:hAnsi="楷体" w:eastAsia="楷体" w:cs="楷体"/>
          <w:szCs w:val="32"/>
          <w:lang w:val="en-US" w:eastAsia="zh-CN"/>
        </w:rPr>
        <w:t>房源</w:t>
      </w:r>
    </w:p>
    <w:p>
      <w:pPr>
        <w:spacing w:line="560" w:lineRule="exact"/>
        <w:ind w:firstLine="640" w:firstLineChars="200"/>
        <w:rPr>
          <w:rFonts w:hint="eastAsia" w:ascii="仿宋_GB2312" w:eastAsia="仿宋_GB2312" w:cs="仿宋_GB2312"/>
          <w:szCs w:val="32"/>
          <w:lang w:val="en-US" w:eastAsia="zh"/>
        </w:rPr>
      </w:pPr>
      <w:r>
        <w:rPr>
          <w:rFonts w:hint="eastAsia" w:ascii="仿宋_GB2312" w:eastAsia="仿宋_GB2312" w:cs="仿宋_GB2312"/>
          <w:szCs w:val="32"/>
          <w:lang w:val="en-US" w:eastAsia="zh"/>
        </w:rPr>
        <w:t>1</w:t>
      </w:r>
      <w:r>
        <w:rPr>
          <w:rFonts w:hint="eastAsia" w:ascii="仿宋_GB2312" w:eastAsia="仿宋_GB2312" w:cs="仿宋_GB2312"/>
          <w:szCs w:val="32"/>
          <w:lang w:val="en-US" w:eastAsia="zh-CN"/>
        </w:rPr>
        <w:t>、现房：位于双和家苑（一期），东至二灶江，南至三北大街，西至新城河中路，北至北二环路。套型面积约为86平方米66套，套型面积约为138平方米14套。（具体见附件）</w:t>
      </w:r>
    </w:p>
    <w:p>
      <w:pPr>
        <w:spacing w:line="560" w:lineRule="exact"/>
        <w:ind w:firstLine="640" w:firstLineChars="200"/>
        <w:rPr>
          <w:rFonts w:hint="eastAsia" w:ascii="仿宋_GB2312" w:eastAsia="仿宋_GB2312" w:cs="仿宋_GB2312"/>
          <w:szCs w:val="32"/>
          <w:lang w:val="en-US" w:eastAsia="zh-CN"/>
        </w:rPr>
      </w:pPr>
      <w:r>
        <w:rPr>
          <w:rFonts w:hint="eastAsia" w:ascii="仿宋_GB2312" w:eastAsia="仿宋_GB2312" w:cs="仿宋_GB2312"/>
          <w:szCs w:val="32"/>
          <w:lang w:val="en-US" w:eastAsia="zh-CN"/>
        </w:rPr>
        <w:t>2、期房：位于横河镇孙塘南路烨和苑，东至规划虞波江，南至翔龙路，西至孙塘路，北至慈城南202202＃地块。套型面积约为90平方米50套。该地块安置房交付时间为2025年12月（具体以实际交付时间为准）。</w:t>
      </w:r>
    </w:p>
    <w:p>
      <w:pPr>
        <w:spacing w:line="560" w:lineRule="exact"/>
        <w:ind w:firstLine="640" w:firstLineChars="200"/>
        <w:rPr>
          <w:rFonts w:hint="default" w:ascii="仿宋_GB2312" w:eastAsia="仿宋_GB2312" w:cs="仿宋_GB2312"/>
          <w:szCs w:val="32"/>
          <w:lang w:val="en-US" w:eastAsia="zh-CN"/>
        </w:rPr>
      </w:pPr>
      <w:r>
        <w:rPr>
          <w:rFonts w:hint="eastAsia" w:ascii="仿宋_GB2312" w:eastAsia="仿宋_GB2312" w:cs="仿宋_GB2312"/>
          <w:szCs w:val="32"/>
          <w:lang w:val="en-US" w:eastAsia="zh-CN"/>
        </w:rPr>
        <w:t>3、期房：新城河G#-1地块安置房，东至规划路，南至北二环，西至梅林路，北至慈白沙I202106#-2地块。套型面积约为67平方米、127平方米和157平方米。该地块安置房交付时间为2027年5月（具体以实际交付时间为准）。</w:t>
      </w:r>
    </w:p>
    <w:p>
      <w:pPr>
        <w:spacing w:line="560" w:lineRule="exact"/>
        <w:ind w:firstLine="640" w:firstLineChars="200"/>
        <w:rPr>
          <w:rFonts w:hint="eastAsia" w:ascii="仿宋_GB2312" w:eastAsia="仿宋_GB2312" w:cs="仿宋_GB2312"/>
          <w:szCs w:val="32"/>
          <w:lang w:val="en-US" w:eastAsia="zh-CN"/>
        </w:rPr>
      </w:pPr>
      <w:r>
        <w:rPr>
          <w:rFonts w:hint="eastAsia" w:ascii="仿宋_GB2312" w:eastAsia="仿宋_GB2312" w:cs="仿宋_GB2312"/>
          <w:szCs w:val="32"/>
          <w:lang w:val="en-US" w:eastAsia="zh-CN"/>
        </w:rPr>
        <w:t>上述安置房最终建筑面积以不动产登记部门确认为准。</w:t>
      </w:r>
    </w:p>
    <w:p>
      <w:pPr>
        <w:spacing w:line="560" w:lineRule="exact"/>
        <w:ind w:firstLine="640" w:firstLineChars="200"/>
        <w:rPr>
          <w:rFonts w:hint="eastAsia" w:ascii="楷体" w:hAnsi="楷体" w:eastAsia="楷体" w:cs="楷体"/>
          <w:szCs w:val="32"/>
          <w:lang w:val="en-US" w:eastAsia="zh-CN"/>
        </w:rPr>
      </w:pPr>
      <w:r>
        <w:rPr>
          <w:rFonts w:hint="eastAsia" w:ascii="楷体" w:hAnsi="楷体" w:eastAsia="楷体" w:cs="楷体"/>
          <w:szCs w:val="32"/>
          <w:lang w:val="en-US" w:eastAsia="zh-CN"/>
        </w:rPr>
        <w:t>（二）选房方式</w:t>
      </w:r>
    </w:p>
    <w:p>
      <w:pPr>
        <w:spacing w:line="560" w:lineRule="exact"/>
        <w:ind w:firstLine="640" w:firstLineChars="200"/>
        <w:rPr>
          <w:rFonts w:hint="eastAsia" w:ascii="仿宋_GB2312" w:eastAsia="仿宋_GB2312"/>
          <w:color w:val="auto"/>
          <w:szCs w:val="32"/>
          <w:highlight w:val="none"/>
        </w:rPr>
      </w:pPr>
      <w:r>
        <w:rPr>
          <w:rFonts w:hint="eastAsia" w:ascii="仿宋_GB2312" w:eastAsia="仿宋_GB2312" w:cs="仿宋_GB2312"/>
          <w:szCs w:val="32"/>
          <w:lang w:val="en-US" w:eastAsia="zh-CN"/>
        </w:rPr>
        <w:t>1.允许被拆迁人在超过全部可安置面积30平方米以内，自愿选择安置房套型，但烨和苑安置房90平方米套型、新城河G#-1地块安置房67平方米套型各只能选择一套。被拆迁人全部可安置面积不足安置房小套型面积的，允许选择一套小套型面积的安置房。2.被拆</w:t>
      </w:r>
      <w:r>
        <w:rPr>
          <w:rFonts w:hint="eastAsia" w:ascii="仿宋_GB2312" w:eastAsia="仿宋_GB2312"/>
          <w:color w:val="auto"/>
          <w:szCs w:val="32"/>
          <w:highlight w:val="none"/>
        </w:rPr>
        <w:t>迁人对可安置面积，部分选择调产安置、部分选择货币安置的，按先调产安置后货币安置的顺序签约。被拆迁人选择大套型安置房后，剩余可安置面积小于小套型安置房建筑面积的，剩余可安置面积只能选择货币安置。</w:t>
      </w:r>
      <w:r>
        <w:rPr>
          <w:rFonts w:hint="eastAsia" w:ascii="仿宋_GB2312" w:eastAsia="仿宋_GB2312"/>
          <w:color w:val="auto"/>
          <w:szCs w:val="32"/>
          <w:highlight w:val="none"/>
          <w:lang w:val="en-US" w:eastAsia="zh-CN"/>
        </w:rPr>
        <w:t>3.</w:t>
      </w:r>
      <w:r>
        <w:rPr>
          <w:rFonts w:hint="eastAsia" w:ascii="仿宋_GB2312" w:eastAsia="仿宋_GB2312"/>
          <w:color w:val="auto"/>
          <w:szCs w:val="32"/>
          <w:highlight w:val="none"/>
        </w:rPr>
        <w:t>若有车库、车位、杂物间等需要与安置房搭配的，由拆迁人事先搭配确定，分房时与主体房源同时公布。若被拆迁人不需要车位的，可书面申请放弃购买车位。</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color w:val="auto"/>
          <w:szCs w:val="32"/>
          <w:highlight w:val="none"/>
        </w:rPr>
      </w:pPr>
      <w:r>
        <w:rPr>
          <w:rFonts w:hint="eastAsia" w:ascii="仿宋_GB2312" w:eastAsia="仿宋_GB2312"/>
          <w:color w:val="auto"/>
          <w:szCs w:val="32"/>
          <w:highlight w:val="none"/>
        </w:rPr>
        <w:t>具体</w:t>
      </w:r>
      <w:r>
        <w:rPr>
          <w:rFonts w:hint="eastAsia" w:ascii="仿宋_GB2312" w:eastAsia="仿宋_GB2312"/>
          <w:color w:val="auto"/>
          <w:szCs w:val="32"/>
          <w:highlight w:val="none"/>
          <w:lang w:eastAsia="zh-CN"/>
        </w:rPr>
        <w:t>高层现房、</w:t>
      </w:r>
      <w:r>
        <w:rPr>
          <w:rFonts w:hint="eastAsia" w:ascii="仿宋_GB2312" w:eastAsia="仿宋_GB2312"/>
          <w:color w:val="auto"/>
          <w:szCs w:val="32"/>
          <w:highlight w:val="none"/>
          <w:lang w:val="en-US" w:eastAsia="zh-CN"/>
        </w:rPr>
        <w:t>高层期</w:t>
      </w:r>
      <w:r>
        <w:rPr>
          <w:rFonts w:hint="eastAsia" w:ascii="仿宋_GB2312" w:eastAsia="仿宋_GB2312"/>
          <w:color w:val="auto"/>
          <w:szCs w:val="32"/>
          <w:highlight w:val="none"/>
        </w:rPr>
        <w:t>房调产安置房源选房办法由拆迁人另行制定。</w:t>
      </w:r>
    </w:p>
    <w:p>
      <w:pPr>
        <w:spacing w:line="560" w:lineRule="exact"/>
        <w:ind w:firstLine="640" w:firstLineChars="200"/>
        <w:rPr>
          <w:rFonts w:ascii="仿宋_GB2312" w:eastAsia="仿宋_GB2312" w:cs="仿宋_GB2312"/>
          <w:szCs w:val="32"/>
        </w:rPr>
      </w:pPr>
      <w:r>
        <w:rPr>
          <w:rFonts w:hint="eastAsia" w:ascii="黑体" w:eastAsia="黑体" w:cs="黑体"/>
          <w:szCs w:val="32"/>
        </w:rPr>
        <w:t>十、签约期限：</w:t>
      </w:r>
      <w:r>
        <w:rPr>
          <w:rFonts w:hint="eastAsia" w:ascii="仿宋_GB2312" w:eastAsia="仿宋_GB2312" w:cs="仿宋_GB2312"/>
          <w:szCs w:val="32"/>
        </w:rPr>
        <w:t>另行公布。另外，根据本项目签约情况可以设定一定期限的宽限期，宽限期起止时间根据签约结果确定并公布。设置宽限期的，本方案规定的按签约期限计算的安置人口、补助及奖励等按照宽限期截止日计算。</w:t>
      </w:r>
    </w:p>
    <w:p>
      <w:pPr>
        <w:spacing w:line="560" w:lineRule="exact"/>
        <w:ind w:firstLine="640" w:firstLineChars="200"/>
        <w:rPr>
          <w:rFonts w:ascii="仿宋_GB2312" w:eastAsia="仿宋_GB2312" w:cs="仿宋_GB2312"/>
          <w:szCs w:val="32"/>
        </w:rPr>
      </w:pPr>
      <w:r>
        <w:rPr>
          <w:rFonts w:hint="eastAsia" w:ascii="黑体" w:eastAsia="黑体" w:cs="黑体"/>
          <w:szCs w:val="32"/>
        </w:rPr>
        <w:t>十一、评估时点：</w:t>
      </w:r>
      <w:r>
        <w:rPr>
          <w:rFonts w:hint="eastAsia" w:ascii="仿宋_GB2312" w:eastAsia="仿宋_GB2312" w:cs="仿宋_GB2312"/>
          <w:szCs w:val="32"/>
        </w:rPr>
        <w:t>被拆房屋评估时点为正式确定的房屋征收补偿安置公告发布之日；被拆房屋所在地段和安置房同类房屋等级的商品住宅平均价评估时点、安置房所在地段同类房屋等级商品住宅平均价评估时点为正式确定的房屋征收补偿安置公告发布之日上月。</w:t>
      </w:r>
    </w:p>
    <w:p>
      <w:pPr>
        <w:spacing w:line="560" w:lineRule="exact"/>
        <w:ind w:firstLine="640" w:firstLineChars="200"/>
        <w:rPr>
          <w:rFonts w:ascii="仿宋_GB2312" w:eastAsia="仿宋_GB2312" w:cs="仿宋_GB2312"/>
          <w:szCs w:val="32"/>
        </w:rPr>
      </w:pPr>
      <w:r>
        <w:rPr>
          <w:rFonts w:hint="eastAsia" w:ascii="黑体" w:eastAsia="黑体" w:cs="黑体"/>
          <w:szCs w:val="32"/>
        </w:rPr>
        <w:t>十二、协议生效条件：</w:t>
      </w:r>
      <w:r>
        <w:rPr>
          <w:rFonts w:hint="eastAsia" w:ascii="仿宋_GB2312" w:eastAsia="仿宋_GB2312" w:cs="仿宋_GB2312"/>
          <w:szCs w:val="32"/>
        </w:rPr>
        <w:t>截止签约宽限期结束，与被征收土地的所有权人签订征地补偿安置协议比例为100%。与被征收土地使用权人签订协议的比例为：签订房屋征收补偿协议的户数与签订土地征收补偿协议的户数，合计超过总征收（拆迁）户数90%。达到上述比例并经公告后房屋征收补偿协议生效，若达不到上述比例，拆迁终止，所签补偿协议无效。</w:t>
      </w:r>
    </w:p>
    <w:p>
      <w:pPr>
        <w:spacing w:line="560" w:lineRule="exact"/>
        <w:ind w:firstLine="640" w:firstLineChars="200"/>
        <w:rPr>
          <w:rFonts w:ascii="仿宋_GB2312" w:eastAsia="仿宋_GB2312" w:cs="仿宋_GB2312"/>
          <w:szCs w:val="32"/>
        </w:rPr>
      </w:pPr>
      <w:r>
        <w:rPr>
          <w:rFonts w:hint="eastAsia" w:ascii="黑体" w:eastAsia="黑体" w:cs="黑体"/>
          <w:szCs w:val="32"/>
        </w:rPr>
        <w:t>十三、其他：</w:t>
      </w:r>
      <w:r>
        <w:rPr>
          <w:rFonts w:hint="eastAsia" w:ascii="仿宋_GB2312" w:eastAsia="仿宋_GB2312" w:cs="仿宋_GB2312"/>
          <w:szCs w:val="32"/>
        </w:rPr>
        <w:t>本方案未尽事宜，参照宁波及慈溪市相关政策文件规定执行。</w:t>
      </w:r>
    </w:p>
    <w:p>
      <w:pPr>
        <w:spacing w:line="560" w:lineRule="exact"/>
        <w:ind w:firstLine="640" w:firstLineChars="200"/>
        <w:rPr>
          <w:rFonts w:ascii="仿宋_GB2312" w:eastAsia="仿宋_GB2312" w:cs="仿宋_GB2312"/>
          <w:szCs w:val="32"/>
        </w:rPr>
      </w:pPr>
    </w:p>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仿宋简体">
    <w:panose1 w:val="03000509000000000000"/>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黑体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pict>
        <v:shape id="文本框 1025" o:spid="_x0000_s3073" o:spt="202" type="#_x0000_t202" style="position:absolute;left:0pt;margin-top:0pt;height:144pt;width:144pt;mso-position-horizontal:center;mso-position-horizontal-relative:margin;mso-wrap-style:none;z-index:251664384;mso-width-relative:page;mso-height-relative:page;" filled="f" stroked="f" coordsize="21600,21600">
          <v:path/>
          <v:fill on="f" focussize="0,0"/>
          <v:stroke on="f" joinstyle="miter"/>
          <v:imagedata o:title=""/>
          <o:lock v:ext="edit"/>
          <v:textbox inset="0mm,0mm,0mm,0mm" style="mso-fit-shape-to-text:t;">
            <w:txbxContent>
              <w:p>
                <w:pPr>
                  <w:pStyle w:val="5"/>
                </w:pPr>
                <w:r>
                  <w:rPr>
                    <w:rFonts w:hint="eastAsia"/>
                  </w:rPr>
                  <w:fldChar w:fldCharType="begin"/>
                </w:r>
                <w:r>
                  <w:rPr>
                    <w:rFonts w:hint="eastAsia"/>
                  </w:rPr>
                  <w:instrText xml:space="preserve"> PAGE  \* MERGEFORMAT </w:instrText>
                </w:r>
                <w:r>
                  <w:rPr>
                    <w:rFonts w:hint="eastAsia"/>
                  </w:rPr>
                  <w:fldChar w:fldCharType="separate"/>
                </w:r>
                <w:r>
                  <w:t>12</w:t>
                </w:r>
                <w:r>
                  <w:rPr>
                    <w:rFonts w:hint="eastAsia"/>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ZGYwNjc2MDYxOWZhY2M1ZTFhOWVmM2ViYzY2Y2ZiYTEifQ=="/>
  </w:docVars>
  <w:rsids>
    <w:rsidRoot w:val="00103AA3"/>
    <w:rsid w:val="00103AA3"/>
    <w:rsid w:val="003F3E00"/>
    <w:rsid w:val="004568BA"/>
    <w:rsid w:val="00581CB2"/>
    <w:rsid w:val="0069191C"/>
    <w:rsid w:val="00704DD9"/>
    <w:rsid w:val="00763B0F"/>
    <w:rsid w:val="007A5D90"/>
    <w:rsid w:val="00AD350F"/>
    <w:rsid w:val="00B76B77"/>
    <w:rsid w:val="00D574FD"/>
    <w:rsid w:val="00E453BA"/>
    <w:rsid w:val="00F34E7A"/>
    <w:rsid w:val="00F750BA"/>
    <w:rsid w:val="011D5761"/>
    <w:rsid w:val="0192677A"/>
    <w:rsid w:val="03420227"/>
    <w:rsid w:val="034D7530"/>
    <w:rsid w:val="03DEBCBF"/>
    <w:rsid w:val="04DE490A"/>
    <w:rsid w:val="053B3E3F"/>
    <w:rsid w:val="05EF5E06"/>
    <w:rsid w:val="088741E5"/>
    <w:rsid w:val="08F3630B"/>
    <w:rsid w:val="0A3976DF"/>
    <w:rsid w:val="0A546D13"/>
    <w:rsid w:val="0A6E1011"/>
    <w:rsid w:val="0A8E0FA4"/>
    <w:rsid w:val="0B570DD2"/>
    <w:rsid w:val="0B6208E0"/>
    <w:rsid w:val="0BCE4311"/>
    <w:rsid w:val="0BD36C48"/>
    <w:rsid w:val="0DAA372E"/>
    <w:rsid w:val="0E774531"/>
    <w:rsid w:val="0E7B4739"/>
    <w:rsid w:val="0E9D574B"/>
    <w:rsid w:val="0EB703F8"/>
    <w:rsid w:val="0EBEC72F"/>
    <w:rsid w:val="0F1E48D7"/>
    <w:rsid w:val="10CA1923"/>
    <w:rsid w:val="10CE382C"/>
    <w:rsid w:val="12F65EB6"/>
    <w:rsid w:val="1328527E"/>
    <w:rsid w:val="13365DA2"/>
    <w:rsid w:val="137B8FB3"/>
    <w:rsid w:val="14DF2E73"/>
    <w:rsid w:val="15492896"/>
    <w:rsid w:val="157F63BE"/>
    <w:rsid w:val="15C12B62"/>
    <w:rsid w:val="16D00132"/>
    <w:rsid w:val="16D9120B"/>
    <w:rsid w:val="16E216C5"/>
    <w:rsid w:val="1774603D"/>
    <w:rsid w:val="179204BD"/>
    <w:rsid w:val="17E27DA6"/>
    <w:rsid w:val="17E636CC"/>
    <w:rsid w:val="182B29F2"/>
    <w:rsid w:val="186F3FB9"/>
    <w:rsid w:val="195C7F6E"/>
    <w:rsid w:val="1A2E2E8B"/>
    <w:rsid w:val="1A3D4ED1"/>
    <w:rsid w:val="1A7325DD"/>
    <w:rsid w:val="1BF55F71"/>
    <w:rsid w:val="1C2C2DBF"/>
    <w:rsid w:val="1D37389F"/>
    <w:rsid w:val="1E1F450F"/>
    <w:rsid w:val="1E5992D4"/>
    <w:rsid w:val="1E5F0CDD"/>
    <w:rsid w:val="1E6D2E78"/>
    <w:rsid w:val="1E774393"/>
    <w:rsid w:val="1FEEB251"/>
    <w:rsid w:val="210B0073"/>
    <w:rsid w:val="213F1189"/>
    <w:rsid w:val="22444527"/>
    <w:rsid w:val="22D97362"/>
    <w:rsid w:val="2373A531"/>
    <w:rsid w:val="237F738A"/>
    <w:rsid w:val="24516BFC"/>
    <w:rsid w:val="24587717"/>
    <w:rsid w:val="24EE6CC5"/>
    <w:rsid w:val="25B76CDE"/>
    <w:rsid w:val="2614225D"/>
    <w:rsid w:val="26F3215E"/>
    <w:rsid w:val="27201029"/>
    <w:rsid w:val="27324229"/>
    <w:rsid w:val="27494B21"/>
    <w:rsid w:val="27FFF623"/>
    <w:rsid w:val="2821006B"/>
    <w:rsid w:val="28950DEB"/>
    <w:rsid w:val="297300D5"/>
    <w:rsid w:val="2A934DCD"/>
    <w:rsid w:val="2ADF5411"/>
    <w:rsid w:val="2B6300A3"/>
    <w:rsid w:val="2C145B76"/>
    <w:rsid w:val="2C972AC7"/>
    <w:rsid w:val="2CF1711F"/>
    <w:rsid w:val="2D7353EC"/>
    <w:rsid w:val="2D856EB5"/>
    <w:rsid w:val="2E7F0253"/>
    <w:rsid w:val="2EB34381"/>
    <w:rsid w:val="2EF45E9A"/>
    <w:rsid w:val="2F374CDD"/>
    <w:rsid w:val="2F8F8573"/>
    <w:rsid w:val="2FEC17A5"/>
    <w:rsid w:val="30236F87"/>
    <w:rsid w:val="31972FC9"/>
    <w:rsid w:val="31F636AD"/>
    <w:rsid w:val="32917849"/>
    <w:rsid w:val="32A83897"/>
    <w:rsid w:val="32B4395A"/>
    <w:rsid w:val="33C3DECF"/>
    <w:rsid w:val="33EF45DA"/>
    <w:rsid w:val="35667438"/>
    <w:rsid w:val="358B6AA0"/>
    <w:rsid w:val="359F6B34"/>
    <w:rsid w:val="35FD0096"/>
    <w:rsid w:val="36567338"/>
    <w:rsid w:val="3685576C"/>
    <w:rsid w:val="3689502D"/>
    <w:rsid w:val="37035C01"/>
    <w:rsid w:val="378A2DEA"/>
    <w:rsid w:val="378C6731"/>
    <w:rsid w:val="37935652"/>
    <w:rsid w:val="37EE8ACE"/>
    <w:rsid w:val="37FF3CEB"/>
    <w:rsid w:val="385B6C38"/>
    <w:rsid w:val="39315A9F"/>
    <w:rsid w:val="39674750"/>
    <w:rsid w:val="399808D4"/>
    <w:rsid w:val="39BBB300"/>
    <w:rsid w:val="3A420AEE"/>
    <w:rsid w:val="3BFBD3E9"/>
    <w:rsid w:val="3BFC5894"/>
    <w:rsid w:val="3C855E27"/>
    <w:rsid w:val="3DDF53FD"/>
    <w:rsid w:val="3DFB4442"/>
    <w:rsid w:val="3DFE55CD"/>
    <w:rsid w:val="3E66054B"/>
    <w:rsid w:val="3E7F1DB7"/>
    <w:rsid w:val="3E9BD76A"/>
    <w:rsid w:val="3EDD29A1"/>
    <w:rsid w:val="3EEF3C10"/>
    <w:rsid w:val="3EFA5C68"/>
    <w:rsid w:val="3F4D01EE"/>
    <w:rsid w:val="3FADB277"/>
    <w:rsid w:val="3FB570EC"/>
    <w:rsid w:val="3FE77108"/>
    <w:rsid w:val="3FFD33C7"/>
    <w:rsid w:val="3FFF9B80"/>
    <w:rsid w:val="400E61F3"/>
    <w:rsid w:val="40585322"/>
    <w:rsid w:val="40F6617A"/>
    <w:rsid w:val="41783754"/>
    <w:rsid w:val="419717E3"/>
    <w:rsid w:val="41DF62A3"/>
    <w:rsid w:val="41FB559F"/>
    <w:rsid w:val="426B603B"/>
    <w:rsid w:val="42CB36B9"/>
    <w:rsid w:val="434901F5"/>
    <w:rsid w:val="43605D11"/>
    <w:rsid w:val="436F76D3"/>
    <w:rsid w:val="43FF35C5"/>
    <w:rsid w:val="448F24F2"/>
    <w:rsid w:val="457DADE9"/>
    <w:rsid w:val="45A24EC3"/>
    <w:rsid w:val="45AC4433"/>
    <w:rsid w:val="45D0311D"/>
    <w:rsid w:val="45F92264"/>
    <w:rsid w:val="462D219A"/>
    <w:rsid w:val="46ED6C46"/>
    <w:rsid w:val="471A470E"/>
    <w:rsid w:val="47FF4D90"/>
    <w:rsid w:val="48172D4E"/>
    <w:rsid w:val="48B67677"/>
    <w:rsid w:val="48DC6988"/>
    <w:rsid w:val="48E92ED3"/>
    <w:rsid w:val="49070F04"/>
    <w:rsid w:val="4AB56BEE"/>
    <w:rsid w:val="4B52B1F4"/>
    <w:rsid w:val="4B8977C9"/>
    <w:rsid w:val="4C5225E5"/>
    <w:rsid w:val="4C7A5CE6"/>
    <w:rsid w:val="4DDF2EBA"/>
    <w:rsid w:val="4DEF364C"/>
    <w:rsid w:val="51BD79CA"/>
    <w:rsid w:val="51EF501B"/>
    <w:rsid w:val="52DB4963"/>
    <w:rsid w:val="535151F0"/>
    <w:rsid w:val="535F18DE"/>
    <w:rsid w:val="54890623"/>
    <w:rsid w:val="54D02B2B"/>
    <w:rsid w:val="54D24997"/>
    <w:rsid w:val="54DA01CA"/>
    <w:rsid w:val="55742619"/>
    <w:rsid w:val="559D6079"/>
    <w:rsid w:val="56D47F4E"/>
    <w:rsid w:val="583E28C3"/>
    <w:rsid w:val="598A4842"/>
    <w:rsid w:val="5A060A5B"/>
    <w:rsid w:val="5A751ED2"/>
    <w:rsid w:val="5B7D4383"/>
    <w:rsid w:val="5BD753F5"/>
    <w:rsid w:val="5BE6760E"/>
    <w:rsid w:val="5C1D55BD"/>
    <w:rsid w:val="5D65331D"/>
    <w:rsid w:val="5D873A6D"/>
    <w:rsid w:val="5D99126B"/>
    <w:rsid w:val="5F2D045F"/>
    <w:rsid w:val="5F77225B"/>
    <w:rsid w:val="5FD05C31"/>
    <w:rsid w:val="5FD472CD"/>
    <w:rsid w:val="5FDD1D6F"/>
    <w:rsid w:val="5FEAD6EA"/>
    <w:rsid w:val="5FEE19D7"/>
    <w:rsid w:val="5FFCF4B6"/>
    <w:rsid w:val="62D37CBB"/>
    <w:rsid w:val="62F20507"/>
    <w:rsid w:val="640857BF"/>
    <w:rsid w:val="648872E7"/>
    <w:rsid w:val="65875EA7"/>
    <w:rsid w:val="66836707"/>
    <w:rsid w:val="66857D23"/>
    <w:rsid w:val="66CE79AB"/>
    <w:rsid w:val="66D03230"/>
    <w:rsid w:val="676B4574"/>
    <w:rsid w:val="678D1D32"/>
    <w:rsid w:val="67BF596C"/>
    <w:rsid w:val="67FFED3F"/>
    <w:rsid w:val="6822441B"/>
    <w:rsid w:val="68415D74"/>
    <w:rsid w:val="68EB1BB3"/>
    <w:rsid w:val="68EF2CCE"/>
    <w:rsid w:val="690B20FF"/>
    <w:rsid w:val="6A010DD9"/>
    <w:rsid w:val="6A1C4F81"/>
    <w:rsid w:val="6B8F72EE"/>
    <w:rsid w:val="6B9234AE"/>
    <w:rsid w:val="6B972DD9"/>
    <w:rsid w:val="6BC526B4"/>
    <w:rsid w:val="6BF30774"/>
    <w:rsid w:val="6C1E564E"/>
    <w:rsid w:val="6C4E4156"/>
    <w:rsid w:val="6CFD4EC6"/>
    <w:rsid w:val="6D9A7A30"/>
    <w:rsid w:val="6DDB6D85"/>
    <w:rsid w:val="6EAE6E03"/>
    <w:rsid w:val="6EB663FE"/>
    <w:rsid w:val="6F0E0794"/>
    <w:rsid w:val="6F510D8D"/>
    <w:rsid w:val="6F9FEF14"/>
    <w:rsid w:val="70F7327D"/>
    <w:rsid w:val="71C771E2"/>
    <w:rsid w:val="72230841"/>
    <w:rsid w:val="725E1C10"/>
    <w:rsid w:val="747931CA"/>
    <w:rsid w:val="74EFCC69"/>
    <w:rsid w:val="7652276C"/>
    <w:rsid w:val="77BD290E"/>
    <w:rsid w:val="77CC771F"/>
    <w:rsid w:val="77E90F55"/>
    <w:rsid w:val="77FFAB28"/>
    <w:rsid w:val="782C5B1D"/>
    <w:rsid w:val="78B715D8"/>
    <w:rsid w:val="78B83DC3"/>
    <w:rsid w:val="78CF7E5A"/>
    <w:rsid w:val="78E71A75"/>
    <w:rsid w:val="792567F3"/>
    <w:rsid w:val="79AFB848"/>
    <w:rsid w:val="7A401523"/>
    <w:rsid w:val="7A4B0509"/>
    <w:rsid w:val="7A5D3CE5"/>
    <w:rsid w:val="7A6557B9"/>
    <w:rsid w:val="7A9F0F03"/>
    <w:rsid w:val="7AC27EC4"/>
    <w:rsid w:val="7AFFF83D"/>
    <w:rsid w:val="7B376953"/>
    <w:rsid w:val="7BE12850"/>
    <w:rsid w:val="7C663F82"/>
    <w:rsid w:val="7CA443A9"/>
    <w:rsid w:val="7D0C29EC"/>
    <w:rsid w:val="7D7F4C1B"/>
    <w:rsid w:val="7DFB6E0C"/>
    <w:rsid w:val="7E6505B4"/>
    <w:rsid w:val="7E772206"/>
    <w:rsid w:val="7E934F5B"/>
    <w:rsid w:val="7E9DE000"/>
    <w:rsid w:val="7EF91143"/>
    <w:rsid w:val="7EFB23FD"/>
    <w:rsid w:val="7F379066"/>
    <w:rsid w:val="7FABDCA4"/>
    <w:rsid w:val="7FBFF0E3"/>
    <w:rsid w:val="7FFF3196"/>
    <w:rsid w:val="7FFF9066"/>
    <w:rsid w:val="7FFFC34E"/>
    <w:rsid w:val="9FF85F11"/>
    <w:rsid w:val="9FFF65C9"/>
    <w:rsid w:val="A65F5674"/>
    <w:rsid w:val="ACFF9BA0"/>
    <w:rsid w:val="B3E7AFE7"/>
    <w:rsid w:val="B6FA2E3A"/>
    <w:rsid w:val="B9D188B1"/>
    <w:rsid w:val="BADE2307"/>
    <w:rsid w:val="BDDB592D"/>
    <w:rsid w:val="BE5F2DCF"/>
    <w:rsid w:val="BF3F78FE"/>
    <w:rsid w:val="C37F8A7B"/>
    <w:rsid w:val="CEE71DBD"/>
    <w:rsid w:val="CF84F355"/>
    <w:rsid w:val="D33DF866"/>
    <w:rsid w:val="D35FEEDB"/>
    <w:rsid w:val="D3F5261E"/>
    <w:rsid w:val="D4EEA476"/>
    <w:rsid w:val="D60E10E7"/>
    <w:rsid w:val="D73E475E"/>
    <w:rsid w:val="D7BB6481"/>
    <w:rsid w:val="DBD61185"/>
    <w:rsid w:val="DBDB96D8"/>
    <w:rsid w:val="DD8F09FA"/>
    <w:rsid w:val="DFCF7114"/>
    <w:rsid w:val="DFD58DEA"/>
    <w:rsid w:val="DFEDE558"/>
    <w:rsid w:val="E7F71BD7"/>
    <w:rsid w:val="EAE4E85F"/>
    <w:rsid w:val="EEF2D9E8"/>
    <w:rsid w:val="EFF12E08"/>
    <w:rsid w:val="EFF70494"/>
    <w:rsid w:val="F3FBE230"/>
    <w:rsid w:val="F5F7D281"/>
    <w:rsid w:val="F6FF44D4"/>
    <w:rsid w:val="F6FFEFD2"/>
    <w:rsid w:val="F76E93C7"/>
    <w:rsid w:val="F7AE970F"/>
    <w:rsid w:val="F7BFF775"/>
    <w:rsid w:val="F7C8ECC0"/>
    <w:rsid w:val="F7E35E2B"/>
    <w:rsid w:val="F7FB6E5E"/>
    <w:rsid w:val="F7FE6B24"/>
    <w:rsid w:val="F7FE8CD0"/>
    <w:rsid w:val="FAF781CA"/>
    <w:rsid w:val="FBB680F3"/>
    <w:rsid w:val="FBFB38A9"/>
    <w:rsid w:val="FBFEFE62"/>
    <w:rsid w:val="FDFDDF9A"/>
    <w:rsid w:val="FF7F2339"/>
    <w:rsid w:val="FFAB5104"/>
    <w:rsid w:val="FFAF9AA1"/>
    <w:rsid w:val="FFBBB3DC"/>
    <w:rsid w:val="FFFDA811"/>
    <w:rsid w:val="FFFDF8A3"/>
    <w:rsid w:val="FFFF3C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方正仿宋简体" w:cs="Times New Roman"/>
      <w:kern w:val="2"/>
      <w:sz w:val="32"/>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4"/>
    <w:qFormat/>
    <w:uiPriority w:val="0"/>
    <w:pPr>
      <w:jc w:val="center"/>
    </w:pPr>
    <w:rPr>
      <w:rFonts w:ascii="方正小标宋简体" w:eastAsia="方正小标宋简体"/>
      <w:sz w:val="44"/>
    </w:rPr>
  </w:style>
  <w:style w:type="paragraph" w:styleId="4">
    <w:name w:val="Body Text First Indent"/>
    <w:basedOn w:val="3"/>
    <w:qFormat/>
    <w:uiPriority w:val="0"/>
    <w:pPr>
      <w:spacing w:line="500" w:lineRule="exact"/>
      <w:ind w:firstLine="420"/>
    </w:pPr>
    <w:rPr>
      <w:rFonts w:ascii="Times New Roman" w:eastAsia="宋体"/>
      <w:sz w:val="28"/>
      <w:szCs w:val="20"/>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9">
    <w:name w:val="表格文字"/>
    <w:basedOn w:val="1"/>
    <w:next w:val="3"/>
    <w:qFormat/>
    <w:uiPriority w:val="0"/>
    <w:pPr>
      <w:adjustRightInd w:val="0"/>
      <w:spacing w:line="420" w:lineRule="atLeast"/>
      <w:jc w:val="left"/>
      <w:textAlignment w:val="baseline"/>
    </w:pPr>
    <w:rPr>
      <w:rFonts w:eastAsia="宋体"/>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3073"/>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19</Pages>
  <Words>1188</Words>
  <Characters>6773</Characters>
  <Lines>56</Lines>
  <Paragraphs>15</Paragraphs>
  <TotalTime>14</TotalTime>
  <ScaleCrop>false</ScaleCrop>
  <LinksUpToDate>false</LinksUpToDate>
  <CharactersWithSpaces>7946</CharactersWithSpaces>
  <Application>WPS Office_11.8.2.1123_F1E327BC-269C-435d-A152-05C5408002CA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2025-04-17T14:37:00Z</dcterms:created>
  <dc:creator>lenovo</dc:creator>
  <cp:lastModifiedBy>user</cp:lastModifiedBy>
  <cp:lastPrinted>2024-03-22T00:13:00Z</cp:lastPrinted>
  <dcterms:modified xsi:type="dcterms:W3CDTF">2025-10-29T14:22:19Z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2052-11.8.2.1123</vt:lpwstr>
  </property>
  <property fmtid="{D5CDD505-2E9C-101B-9397-08002B2CF9AE}" pid="3" name="ICV">
    <vt:lpwstr>8BCD56EDB02C42688813169684853532_13</vt:lpwstr>
  </property>
  <property fmtid="{D5CDD505-2E9C-101B-9397-08002B2CF9AE}" pid="4" name="commondata">
    <vt:lpwstr>eyJoZGlkIjoiZGYwNjc2MDYxOWZhY2M1ZTFhOWVmM2ViYzY2Y2ZiYTEifQ==</vt:lpwstr>
  </property>
</Properties>
</file>