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2023年宁波市慈溪市农业农村局</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政府信息公开工作年度报告</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楷体_GB2312" w:hAnsi="楷体_GB2312" w:eastAsia="楷体_GB2312" w:cs="楷体_GB2312"/>
          <w:b w:val="0"/>
          <w:bCs w:val="0"/>
          <w:sz w:val="32"/>
          <w:szCs w:val="32"/>
          <w:lang w:val="en-US" w:eastAsia="zh-CN"/>
        </w:rPr>
      </w:pPr>
      <w:bookmarkStart w:id="0" w:name="_GoBack"/>
      <w:bookmarkEnd w:id="0"/>
      <w:r>
        <w:rPr>
          <w:rFonts w:hint="eastAsia" w:ascii="楷体_GB2312" w:hAnsi="楷体_GB2312" w:eastAsia="楷体_GB2312" w:cs="楷体_GB2312"/>
          <w:b w:val="0"/>
          <w:bCs w:val="0"/>
          <w:sz w:val="32"/>
          <w:szCs w:val="32"/>
          <w:lang w:val="en-US" w:eastAsia="zh-CN"/>
        </w:rPr>
        <w:t>（</w:t>
      </w:r>
      <w:r>
        <w:rPr>
          <w:rFonts w:hint="eastAsia" w:ascii="楷体_GB2312" w:hAnsi="楷体_GB2312" w:eastAsia="楷体_GB2312" w:cs="楷体_GB2312"/>
          <w:color w:val="auto"/>
          <w:kern w:val="2"/>
          <w:sz w:val="32"/>
          <w:szCs w:val="32"/>
          <w:lang w:val="en-US" w:eastAsia="zh-CN" w:bidi="ar-SA"/>
        </w:rPr>
        <w:t>2023年1月9日</w:t>
      </w:r>
      <w:r>
        <w:rPr>
          <w:rFonts w:hint="eastAsia" w:ascii="楷体_GB2312" w:hAnsi="楷体_GB2312" w:eastAsia="楷体_GB2312" w:cs="楷体_GB2312"/>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楷体_GB2312" w:hAnsi="楷体_GB2312" w:eastAsia="楷体_GB2312" w:cs="楷体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一、总体情况</w:t>
      </w: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2023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市农业农村</w:t>
      </w:r>
      <w:r>
        <w:rPr>
          <w:rFonts w:hint="eastAsia" w:ascii="仿宋_GB2312" w:hAnsi="仿宋_GB2312" w:eastAsia="仿宋_GB2312" w:cs="仿宋_GB2312"/>
          <w:color w:val="auto"/>
          <w:sz w:val="32"/>
          <w:szCs w:val="32"/>
        </w:rPr>
        <w:t>局在市委、市政府的</w:t>
      </w:r>
      <w:r>
        <w:rPr>
          <w:rFonts w:hint="eastAsia" w:ascii="仿宋_GB2312" w:hAnsi="仿宋_GB2312" w:eastAsia="仿宋_GB2312" w:cs="仿宋_GB2312"/>
          <w:color w:val="auto"/>
          <w:sz w:val="32"/>
          <w:szCs w:val="32"/>
          <w:lang w:eastAsia="zh-CN"/>
        </w:rPr>
        <w:t>坚强</w:t>
      </w:r>
      <w:r>
        <w:rPr>
          <w:rFonts w:hint="eastAsia" w:ascii="仿宋_GB2312" w:hAnsi="仿宋_GB2312" w:eastAsia="仿宋_GB2312" w:cs="仿宋_GB2312"/>
          <w:color w:val="auto"/>
          <w:sz w:val="32"/>
          <w:szCs w:val="32"/>
        </w:rPr>
        <w:t>领导下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认真贯彻</w:t>
      </w:r>
      <w:r>
        <w:rPr>
          <w:rFonts w:hint="eastAsia" w:ascii="仿宋_GB2312" w:hAnsi="仿宋_GB2312" w:eastAsia="仿宋_GB2312" w:cs="仿宋_GB2312"/>
          <w:color w:val="auto"/>
          <w:sz w:val="32"/>
          <w:szCs w:val="32"/>
          <w:lang w:eastAsia="zh-CN"/>
        </w:rPr>
        <w:t>落实</w:t>
      </w:r>
      <w:r>
        <w:rPr>
          <w:rFonts w:hint="eastAsia" w:ascii="仿宋_GB2312" w:hAnsi="仿宋_GB2312" w:eastAsia="仿宋_GB2312" w:cs="仿宋_GB2312"/>
          <w:color w:val="auto"/>
          <w:sz w:val="32"/>
          <w:szCs w:val="32"/>
        </w:rPr>
        <w:t>《中华人民共和国政府信息公开条例》及有关文件精神</w:t>
      </w:r>
      <w:r>
        <w:rPr>
          <w:rFonts w:hint="eastAsia" w:ascii="仿宋_GB2312" w:hAnsi="仿宋_GB2312" w:eastAsia="仿宋_GB2312" w:cs="仿宋_GB2312"/>
          <w:color w:val="auto"/>
          <w:sz w:val="32"/>
          <w:szCs w:val="32"/>
          <w:lang w:eastAsia="zh-CN"/>
        </w:rPr>
        <w:t>，紧紧围绕“三农”工作，坚持把政府信息公开作为农业依法行政的重要手段，全力推进政府信息公开工作深入开展，不断提升群众满意度和获得感。</w:t>
      </w:r>
    </w:p>
    <w:p>
      <w:pPr>
        <w:keepNext w:val="0"/>
        <w:keepLines w:val="0"/>
        <w:pageBreakBefore w:val="0"/>
        <w:widowControl w:val="0"/>
        <w:numPr>
          <w:ilvl w:val="0"/>
          <w:numId w:val="1"/>
        </w:numPr>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rPr>
        <w:t>主动公开情况。</w:t>
      </w:r>
      <w:r>
        <w:rPr>
          <w:rFonts w:hint="eastAsia" w:ascii="仿宋_GB2312" w:hAnsi="仿宋_GB2312" w:eastAsia="仿宋_GB2312" w:cs="仿宋_GB2312"/>
          <w:color w:val="auto"/>
          <w:sz w:val="32"/>
          <w:szCs w:val="32"/>
          <w:lang w:eastAsia="zh-CN"/>
        </w:rPr>
        <w:t>根据工作实际，我局开设机构职能、规范性文件、政策解读、通知公告、提案议案、涉农补贴、财政信息、公开指南等栏目，按照“全面、通俗、规范”要求，</w:t>
      </w:r>
      <w:r>
        <w:rPr>
          <w:rFonts w:hint="eastAsia" w:ascii="仿宋_GB2312" w:hAnsi="仿宋_GB2312" w:eastAsia="仿宋_GB2312" w:cs="仿宋_GB2312"/>
          <w:color w:val="auto"/>
          <w:sz w:val="32"/>
          <w:szCs w:val="32"/>
          <w:lang w:val="en-US" w:eastAsia="zh-CN"/>
        </w:rPr>
        <w:t>严格落实政策解读“三同步”工作机制</w:t>
      </w:r>
      <w:r>
        <w:rPr>
          <w:rFonts w:hint="eastAsia" w:ascii="仿宋_GB2312" w:hAnsi="仿宋_GB2312" w:eastAsia="仿宋_GB2312" w:cs="仿宋_GB2312"/>
          <w:color w:val="auto"/>
          <w:sz w:val="32"/>
          <w:szCs w:val="32"/>
          <w:lang w:eastAsia="zh-CN"/>
        </w:rPr>
        <w:t>，及时准确发布工作动态和政策信息。</w:t>
      </w:r>
      <w:r>
        <w:rPr>
          <w:rFonts w:hint="eastAsia" w:ascii="仿宋_GB2312" w:hAnsi="仿宋_GB2312" w:eastAsia="仿宋_GB2312" w:cs="仿宋_GB2312"/>
          <w:color w:val="auto"/>
          <w:sz w:val="32"/>
          <w:szCs w:val="32"/>
          <w:lang w:val="en-US" w:eastAsia="zh-CN"/>
        </w:rPr>
        <w:t>2023</w:t>
      </w:r>
      <w:r>
        <w:rPr>
          <w:rFonts w:hint="eastAsia" w:ascii="仿宋_GB2312" w:hAnsi="仿宋_GB2312" w:eastAsia="仿宋_GB2312" w:cs="仿宋_GB2312"/>
          <w:color w:val="auto"/>
          <w:sz w:val="32"/>
          <w:szCs w:val="32"/>
          <w:lang w:eastAsia="zh-CN"/>
        </w:rPr>
        <w:t>年主动公开信息</w:t>
      </w:r>
      <w:r>
        <w:rPr>
          <w:rFonts w:hint="eastAsia" w:ascii="仿宋_GB2312" w:hAnsi="仿宋_GB2312" w:eastAsia="仿宋_GB2312" w:cs="仿宋_GB2312"/>
          <w:color w:val="auto"/>
          <w:sz w:val="32"/>
          <w:szCs w:val="32"/>
          <w:lang w:val="en-US" w:eastAsia="zh-CN"/>
        </w:rPr>
        <w:t>418</w:t>
      </w:r>
      <w:r>
        <w:rPr>
          <w:rFonts w:hint="eastAsia" w:ascii="仿宋_GB2312" w:hAnsi="仿宋_GB2312" w:eastAsia="仿宋_GB2312" w:cs="仿宋_GB2312"/>
          <w:color w:val="auto"/>
          <w:sz w:val="32"/>
          <w:szCs w:val="32"/>
          <w:lang w:eastAsia="zh-CN"/>
        </w:rPr>
        <w:t>条，其中</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更新</w:t>
      </w:r>
      <w:r>
        <w:rPr>
          <w:rFonts w:hint="eastAsia" w:ascii="仿宋_GB2312" w:hAnsi="仿宋_GB2312" w:eastAsia="仿宋_GB2312" w:cs="仿宋_GB2312"/>
          <w:color w:val="auto"/>
          <w:sz w:val="32"/>
          <w:szCs w:val="32"/>
          <w:lang w:val="en-US" w:eastAsia="zh-CN"/>
        </w:rPr>
        <w:t>工作年报1条、</w:t>
      </w:r>
      <w:r>
        <w:rPr>
          <w:rFonts w:hint="eastAsia" w:ascii="仿宋_GB2312" w:hAnsi="仿宋_GB2312" w:eastAsia="仿宋_GB2312" w:cs="仿宋_GB2312"/>
          <w:color w:val="auto"/>
          <w:sz w:val="32"/>
          <w:szCs w:val="32"/>
          <w:lang w:eastAsia="zh-CN"/>
        </w:rPr>
        <w:t>重大决策预公开</w:t>
      </w:r>
      <w:r>
        <w:rPr>
          <w:rFonts w:hint="eastAsia" w:ascii="仿宋_GB2312" w:hAnsi="仿宋_GB2312" w:eastAsia="仿宋_GB2312" w:cs="仿宋_GB2312"/>
          <w:color w:val="auto"/>
          <w:sz w:val="32"/>
          <w:szCs w:val="32"/>
          <w:lang w:val="en-US" w:eastAsia="zh-CN"/>
        </w:rPr>
        <w:t>2条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政策文件4条、</w:t>
      </w:r>
      <w:r>
        <w:rPr>
          <w:rFonts w:hint="eastAsia" w:ascii="仿宋_GB2312" w:hAnsi="仿宋_GB2312" w:eastAsia="仿宋_GB2312" w:cs="仿宋_GB2312"/>
          <w:color w:val="auto"/>
          <w:sz w:val="32"/>
          <w:szCs w:val="32"/>
          <w:lang w:eastAsia="zh-CN"/>
        </w:rPr>
        <w:t>政策解读（图解）</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eastAsia="zh-CN"/>
        </w:rPr>
        <w:t>条、</w:t>
      </w:r>
      <w:r>
        <w:rPr>
          <w:rFonts w:hint="eastAsia" w:ascii="仿宋_GB2312" w:hAnsi="仿宋_GB2312" w:eastAsia="仿宋_GB2312" w:cs="仿宋_GB2312"/>
          <w:color w:val="auto"/>
          <w:sz w:val="32"/>
          <w:szCs w:val="32"/>
          <w:lang w:val="en-US" w:eastAsia="zh-CN"/>
        </w:rPr>
        <w:t>财政预决算8条</w:t>
      </w:r>
      <w:r>
        <w:rPr>
          <w:rFonts w:hint="eastAsia" w:ascii="仿宋_GB2312" w:hAnsi="仿宋_GB2312" w:eastAsia="仿宋_GB2312" w:cs="仿宋_GB2312"/>
          <w:color w:val="auto"/>
          <w:sz w:val="32"/>
          <w:szCs w:val="32"/>
          <w:lang w:eastAsia="zh-CN"/>
        </w:rPr>
        <w:t>、提案议案</w:t>
      </w:r>
      <w:r>
        <w:rPr>
          <w:rFonts w:hint="eastAsia" w:ascii="仿宋_GB2312" w:hAnsi="仿宋_GB2312" w:eastAsia="仿宋_GB2312" w:cs="仿宋_GB2312"/>
          <w:color w:val="auto"/>
          <w:sz w:val="32"/>
          <w:szCs w:val="32"/>
          <w:lang w:val="en-US" w:eastAsia="zh-CN"/>
        </w:rPr>
        <w:t>55</w:t>
      </w:r>
      <w:r>
        <w:rPr>
          <w:rFonts w:hint="eastAsia" w:ascii="仿宋_GB2312" w:hAnsi="仿宋_GB2312" w:eastAsia="仿宋_GB2312" w:cs="仿宋_GB2312"/>
          <w:color w:val="auto"/>
          <w:sz w:val="32"/>
          <w:szCs w:val="32"/>
          <w:lang w:eastAsia="zh-CN"/>
        </w:rPr>
        <w:t>条</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通知公告</w:t>
      </w:r>
      <w:r>
        <w:rPr>
          <w:rFonts w:hint="eastAsia" w:ascii="仿宋_GB2312" w:hAnsi="仿宋_GB2312" w:eastAsia="仿宋_GB2312" w:cs="仿宋_GB2312"/>
          <w:color w:val="auto"/>
          <w:sz w:val="32"/>
          <w:szCs w:val="32"/>
          <w:lang w:val="en-US" w:eastAsia="zh-CN"/>
        </w:rPr>
        <w:t>99</w:t>
      </w:r>
      <w:r>
        <w:rPr>
          <w:rFonts w:hint="eastAsia" w:ascii="仿宋_GB2312" w:hAnsi="仿宋_GB2312" w:eastAsia="仿宋_GB2312" w:cs="仿宋_GB2312"/>
          <w:color w:val="auto"/>
          <w:sz w:val="32"/>
          <w:szCs w:val="32"/>
          <w:lang w:eastAsia="zh-CN"/>
        </w:rPr>
        <w:t>条</w:t>
      </w:r>
      <w:r>
        <w:rPr>
          <w:rFonts w:hint="eastAsia" w:ascii="仿宋_GB2312" w:hAnsi="仿宋_GB2312" w:eastAsia="仿宋_GB2312" w:cs="仿宋_GB2312"/>
          <w:color w:val="auto"/>
          <w:sz w:val="32"/>
          <w:szCs w:val="32"/>
          <w:lang w:val="en-US" w:eastAsia="zh-CN"/>
        </w:rPr>
        <w:t>、乡村振兴105条、涉农补贴128条、农机购置补贴10条。</w:t>
      </w:r>
    </w:p>
    <w:p>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rPr>
        <w:t>（二）依申请公开情况。</w:t>
      </w:r>
      <w:r>
        <w:rPr>
          <w:rFonts w:hint="eastAsia" w:ascii="仿宋_GB2312" w:hAnsi="仿宋_GB2312" w:eastAsia="仿宋_GB2312" w:cs="仿宋_GB2312"/>
          <w:color w:val="auto"/>
          <w:sz w:val="32"/>
          <w:szCs w:val="32"/>
          <w:lang w:eastAsia="zh-CN"/>
        </w:rPr>
        <w:t>加强平台建设，开通多渠道依申请公开方式，通过门户网站、电子邮件、传真、信函、当面申请等方式方便群众申请，</w:t>
      </w:r>
      <w:r>
        <w:rPr>
          <w:rFonts w:hint="eastAsia" w:ascii="仿宋_GB2312" w:hAnsi="仿宋_GB2312" w:eastAsia="仿宋_GB2312" w:cs="仿宋_GB2312"/>
          <w:color w:val="auto"/>
          <w:sz w:val="32"/>
          <w:szCs w:val="32"/>
        </w:rPr>
        <w:t>切实保障人民群众的知情权、参与权、表达权、监督权，</w:t>
      </w:r>
      <w:r>
        <w:rPr>
          <w:rFonts w:hint="eastAsia" w:ascii="仿宋_GB2312" w:hAnsi="仿宋_GB2312" w:eastAsia="仿宋_GB2312" w:cs="仿宋_GB2312"/>
          <w:color w:val="auto"/>
          <w:sz w:val="32"/>
          <w:szCs w:val="32"/>
          <w:lang w:eastAsia="zh-CN"/>
        </w:rPr>
        <w:t>维护</w:t>
      </w:r>
      <w:r>
        <w:rPr>
          <w:rFonts w:hint="eastAsia" w:ascii="仿宋_GB2312" w:hAnsi="仿宋_GB2312" w:eastAsia="仿宋_GB2312" w:cs="仿宋_GB2312"/>
          <w:color w:val="auto"/>
          <w:sz w:val="32"/>
          <w:szCs w:val="32"/>
        </w:rPr>
        <w:t>政府公信力、执行力</w:t>
      </w:r>
      <w:r>
        <w:rPr>
          <w:rFonts w:hint="eastAsia" w:ascii="仿宋_GB2312" w:hAnsi="仿宋_GB2312" w:eastAsia="仿宋_GB2312" w:cs="仿宋_GB2312"/>
          <w:color w:val="auto"/>
          <w:sz w:val="32"/>
          <w:szCs w:val="32"/>
          <w:lang w:eastAsia="zh-CN"/>
        </w:rPr>
        <w:t>。认真贯彻落实有关政府信息公开文件精神，对我局依申请公开办理程序进行明确，通过登记受理、分办、办理、答复、归档存查等程序严格把关，确保答复规范有序。</w:t>
      </w:r>
      <w:r>
        <w:rPr>
          <w:rFonts w:hint="eastAsia" w:ascii="仿宋_GB2312" w:hAnsi="仿宋_GB2312" w:eastAsia="仿宋_GB2312" w:cs="仿宋_GB2312"/>
          <w:color w:val="auto"/>
          <w:sz w:val="32"/>
          <w:szCs w:val="32"/>
          <w:lang w:val="en-US" w:eastAsia="zh-CN"/>
        </w:rPr>
        <w:t>2023年新收到依申请公开5条，均为自然人申请。</w:t>
      </w: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楷体_GB2312" w:hAnsi="楷体_GB2312" w:eastAsia="楷体_GB2312" w:cs="楷体_GB2312"/>
          <w:color w:val="auto"/>
          <w:sz w:val="32"/>
          <w:szCs w:val="32"/>
        </w:rPr>
        <w:t>（三）政府信息管理情况。</w:t>
      </w:r>
      <w:r>
        <w:rPr>
          <w:rFonts w:hint="eastAsia" w:ascii="仿宋_GB2312" w:hAnsi="仿宋_GB2312" w:eastAsia="仿宋_GB2312" w:cs="仿宋_GB2312"/>
          <w:color w:val="auto"/>
          <w:sz w:val="32"/>
          <w:szCs w:val="32"/>
        </w:rPr>
        <w:t>我局紧紧围绕市委、市政府的重大决策部署和公众关心的热点问题，合理设置网站栏目，</w:t>
      </w:r>
      <w:r>
        <w:rPr>
          <w:rFonts w:hint="eastAsia" w:ascii="仿宋_GB2312" w:hAnsi="仿宋_GB2312" w:eastAsia="仿宋_GB2312" w:cs="仿宋_GB2312"/>
          <w:color w:val="auto"/>
          <w:sz w:val="32"/>
          <w:szCs w:val="32"/>
          <w:lang w:eastAsia="zh-CN"/>
        </w:rPr>
        <w:t>加强对公开内容的监督审查，安排专人负责发布、发布前后双审查的责任机制，严格核校内容并定期审查存量信息，确保存量信息的准确性</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rPr>
        <w:t>（四）</w:t>
      </w:r>
      <w:r>
        <w:rPr>
          <w:rFonts w:hint="eastAsia" w:ascii="楷体_GB2312" w:hAnsi="楷体_GB2312" w:eastAsia="楷体_GB2312" w:cs="楷体_GB2312"/>
          <w:color w:val="auto"/>
          <w:sz w:val="32"/>
          <w:szCs w:val="32"/>
          <w:lang w:eastAsia="zh-CN"/>
        </w:rPr>
        <w:t>公开</w:t>
      </w:r>
      <w:r>
        <w:rPr>
          <w:rFonts w:hint="eastAsia" w:ascii="楷体_GB2312" w:hAnsi="楷体_GB2312" w:eastAsia="楷体_GB2312" w:cs="楷体_GB2312"/>
          <w:color w:val="auto"/>
          <w:sz w:val="32"/>
          <w:szCs w:val="32"/>
        </w:rPr>
        <w:t>平台建设情况。</w:t>
      </w:r>
      <w:r>
        <w:rPr>
          <w:rFonts w:hint="eastAsia" w:ascii="仿宋_GB2312" w:hAnsi="仿宋_GB2312" w:eastAsia="仿宋_GB2312" w:cs="仿宋_GB2312"/>
          <w:color w:val="auto"/>
          <w:sz w:val="32"/>
          <w:szCs w:val="32"/>
          <w:lang w:eastAsia="zh-CN"/>
        </w:rPr>
        <w:t>落实“公开为常态、不公开为例外”原则，根据上级要求进行政府网站集约化平台录入信息编审分离，更新依申请公开办理申请文书。</w:t>
      </w:r>
      <w:r>
        <w:rPr>
          <w:rFonts w:hint="eastAsia" w:ascii="仿宋_GB2312" w:hAnsi="仿宋_GB2312" w:eastAsia="仿宋_GB2312" w:cs="仿宋_GB2312"/>
          <w:color w:val="auto"/>
          <w:sz w:val="32"/>
          <w:szCs w:val="32"/>
          <w:lang w:val="en-US" w:eastAsia="zh-CN"/>
        </w:rPr>
        <w:t>2023年保持在慈晓平台政务号</w:t>
      </w:r>
      <w:r>
        <w:rPr>
          <w:rFonts w:hint="eastAsia" w:ascii="仿宋_GB2312" w:hAnsi="仿宋_GB2312" w:eastAsia="仿宋_GB2312" w:cs="仿宋_GB2312"/>
          <w:color w:val="auto"/>
          <w:sz w:val="32"/>
          <w:szCs w:val="32"/>
          <w:lang w:eastAsia="zh-CN"/>
        </w:rPr>
        <w:t>同步发布“三农”工作动态和最新政策，</w:t>
      </w:r>
      <w:r>
        <w:rPr>
          <w:rFonts w:hint="eastAsia" w:ascii="仿宋_GB2312" w:hAnsi="仿宋_GB2312" w:eastAsia="仿宋_GB2312" w:cs="仿宋_GB2312"/>
          <w:color w:val="auto"/>
          <w:sz w:val="32"/>
          <w:szCs w:val="32"/>
          <w:lang w:val="en-US" w:eastAsia="zh-CN"/>
        </w:rPr>
        <w:t>应用知情明政系统处理调研课题需求6件。</w:t>
      </w: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color w:val="auto"/>
          <w:sz w:val="32"/>
          <w:szCs w:val="32"/>
        </w:rPr>
        <w:t>（五）监督保障情况。</w:t>
      </w:r>
      <w:r>
        <w:rPr>
          <w:rFonts w:hint="eastAsia" w:ascii="仿宋_GB2312" w:hAnsi="仿宋_GB2312" w:eastAsia="仿宋_GB2312" w:cs="仿宋_GB2312"/>
          <w:color w:val="auto"/>
          <w:sz w:val="32"/>
          <w:szCs w:val="32"/>
          <w:lang w:eastAsia="zh-CN"/>
        </w:rPr>
        <w:t>积极参加全市统一的政务公开社会评议并定期按规定发布责任追究情况。杭州亚运会期间严格执行重大事件事故及时上报、网络安全每日“零报告”和安全事件隐患“10 分钟内响应、30 分钟内处置”制度，严守政务公开“亚运窗口”。</w:t>
      </w:r>
    </w:p>
    <w:p>
      <w:pPr>
        <w:keepNext w:val="0"/>
        <w:keepLines w:val="0"/>
        <w:pageBreakBefore w:val="0"/>
        <w:widowControl w:val="0"/>
        <w:kinsoku/>
        <w:wordWrap/>
        <w:overflowPunct/>
        <w:topLinePunct w:val="0"/>
        <w:autoSpaceDE/>
        <w:autoSpaceDN/>
        <w:bidi w:val="0"/>
        <w:adjustRightInd/>
        <w:spacing w:line="560" w:lineRule="exact"/>
        <w:ind w:firstLine="643" w:firstLineChars="200"/>
        <w:jc w:val="left"/>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3" w:firstLineChars="200"/>
        <w:jc w:val="left"/>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3" w:firstLineChars="200"/>
        <w:jc w:val="left"/>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3" w:firstLineChars="200"/>
        <w:jc w:val="left"/>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二、主动公开政府信息情况</w:t>
      </w:r>
    </w:p>
    <w:tbl>
      <w:tblPr>
        <w:tblStyle w:val="4"/>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本年废止件数</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5</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3</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color w:val="auto"/>
                <w:sz w:val="24"/>
                <w:szCs w:val="24"/>
              </w:rPr>
            </w:pPr>
            <w:r>
              <w:rPr>
                <w:rFonts w:hint="eastAsia" w:ascii="黑体" w:hAnsi="黑体" w:eastAsia="黑体" w:cs="黑体"/>
                <w:color w:val="auto"/>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color w:val="auto"/>
                <w:sz w:val="24"/>
                <w:szCs w:val="24"/>
              </w:rPr>
            </w:pPr>
            <w:r>
              <w:rPr>
                <w:rFonts w:hint="eastAsia" w:ascii="黑体" w:hAnsi="黑体" w:eastAsia="黑体" w:cs="黑体"/>
                <w:color w:val="auto"/>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行政许可</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color w:val="auto"/>
                <w:sz w:val="24"/>
                <w:szCs w:val="24"/>
                <w:highlight w:val="yellow"/>
                <w:lang w:val="en-US" w:eastAsia="zh-CN"/>
              </w:rPr>
            </w:pPr>
            <w:r>
              <w:rPr>
                <w:rFonts w:hint="eastAsia" w:ascii="仿宋_GB2312" w:hAnsi="仿宋_GB2312" w:eastAsia="仿宋_GB2312"/>
                <w:color w:val="auto"/>
                <w:sz w:val="24"/>
                <w:szCs w:val="24"/>
                <w:highlight w:val="none"/>
                <w:lang w:val="en-US" w:eastAsia="zh-CN"/>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color w:val="auto"/>
                <w:sz w:val="24"/>
                <w:szCs w:val="24"/>
              </w:rPr>
            </w:pPr>
            <w:r>
              <w:rPr>
                <w:rFonts w:hint="eastAsia" w:ascii="黑体" w:hAnsi="黑体" w:eastAsia="黑体" w:cs="黑体"/>
                <w:color w:val="auto"/>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color w:val="auto"/>
                <w:sz w:val="24"/>
                <w:szCs w:val="24"/>
              </w:rPr>
            </w:pPr>
            <w:r>
              <w:rPr>
                <w:rFonts w:hint="eastAsia" w:ascii="黑体" w:hAnsi="黑体" w:eastAsia="黑体" w:cs="黑体"/>
                <w:color w:val="auto"/>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行政处罚</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行政强制</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color w:val="auto"/>
                <w:sz w:val="24"/>
                <w:szCs w:val="24"/>
              </w:rPr>
            </w:pPr>
            <w:r>
              <w:rPr>
                <w:rFonts w:hint="eastAsia" w:ascii="黑体" w:hAnsi="黑体" w:eastAsia="黑体" w:cs="黑体"/>
                <w:color w:val="auto"/>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color w:val="auto"/>
                <w:sz w:val="24"/>
                <w:szCs w:val="24"/>
              </w:rPr>
            </w:pPr>
            <w:r>
              <w:rPr>
                <w:rFonts w:hint="eastAsia" w:ascii="黑体" w:hAnsi="黑体" w:eastAsia="黑体" w:cs="黑体"/>
                <w:color w:val="auto"/>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r>
    </w:tbl>
    <w:p>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三、收到和处理政府信息公开申请情况</w:t>
      </w:r>
    </w:p>
    <w:tbl>
      <w:tblPr>
        <w:tblStyle w:val="4"/>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自然人</w:t>
            </w:r>
          </w:p>
        </w:tc>
        <w:tc>
          <w:tcPr>
            <w:tcW w:w="35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社会公益组织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法律服务机构</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其他</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pacing w:val="-6"/>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5</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color w:val="auto"/>
                <w:kern w:val="2"/>
                <w:sz w:val="24"/>
                <w:szCs w:val="24"/>
                <w:lang w:val="en-US" w:eastAsia="zh-CN" w:bidi="ar-SA"/>
              </w:rPr>
            </w:pPr>
            <w:r>
              <w:rPr>
                <w:rFonts w:hint="eastAsia" w:ascii="仿宋_GB2312" w:hAnsi="仿宋_GB2312" w:eastAsia="仿宋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color w:val="auto"/>
                <w:kern w:val="2"/>
                <w:sz w:val="24"/>
                <w:szCs w:val="24"/>
                <w:lang w:val="en-US" w:eastAsia="zh-CN" w:bidi="ar-SA"/>
              </w:rPr>
            </w:pPr>
            <w:r>
              <w:rPr>
                <w:rFonts w:hint="eastAsia" w:ascii="仿宋_GB2312" w:hAnsi="仿宋_GB2312" w:eastAsia="仿宋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color w:val="auto"/>
                <w:kern w:val="2"/>
                <w:sz w:val="24"/>
                <w:szCs w:val="24"/>
                <w:lang w:val="en-US" w:eastAsia="zh-CN" w:bidi="ar-SA"/>
              </w:rPr>
            </w:pPr>
            <w:r>
              <w:rPr>
                <w:rFonts w:hint="eastAsia" w:ascii="仿宋_GB2312" w:hAnsi="仿宋_GB2312" w:eastAsia="仿宋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color w:val="auto"/>
                <w:kern w:val="2"/>
                <w:sz w:val="24"/>
                <w:szCs w:val="24"/>
                <w:lang w:val="en-US" w:eastAsia="zh-CN" w:bidi="ar-SA"/>
              </w:rPr>
            </w:pPr>
            <w:r>
              <w:rPr>
                <w:rFonts w:hint="eastAsia" w:ascii="仿宋_GB2312" w:hAnsi="仿宋_GB2312" w:eastAsia="仿宋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color w:val="auto"/>
                <w:kern w:val="2"/>
                <w:sz w:val="24"/>
                <w:szCs w:val="24"/>
                <w:lang w:val="en-US" w:eastAsia="zh-CN" w:bidi="ar-SA"/>
              </w:rPr>
            </w:pPr>
            <w:r>
              <w:rPr>
                <w:rFonts w:hint="eastAsia" w:ascii="仿宋_GB2312" w:hAnsi="仿宋_GB2312" w:eastAsia="仿宋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color w:val="auto"/>
                <w:kern w:val="2"/>
                <w:sz w:val="24"/>
                <w:szCs w:val="24"/>
                <w:lang w:val="en-US" w:eastAsia="zh-CN" w:bidi="ar-SA"/>
              </w:rPr>
            </w:pPr>
            <w:r>
              <w:rPr>
                <w:rFonts w:hint="eastAsia" w:ascii="仿宋_GB2312" w:hAnsi="仿宋_GB2312" w:eastAsia="仿宋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color w:val="auto"/>
                <w:kern w:val="2"/>
                <w:sz w:val="24"/>
                <w:szCs w:val="24"/>
                <w:lang w:val="en-US" w:eastAsia="zh-CN" w:bidi="ar-SA"/>
              </w:rPr>
            </w:pPr>
            <w:r>
              <w:rPr>
                <w:rFonts w:hint="eastAsia" w:ascii="仿宋_GB2312" w:hAnsi="仿宋_GB2312" w:eastAsia="仿宋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（三）不予公开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（四）无法提供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cs="Times New Roman"/>
                <w:kern w:val="2"/>
                <w:sz w:val="24"/>
                <w:szCs w:val="24"/>
                <w:lang w:val="en-US" w:eastAsia="zh-CN" w:bidi="ar-SA"/>
              </w:rPr>
            </w:pPr>
            <w:r>
              <w:rPr>
                <w:rFonts w:hint="eastAsia" w:ascii="仿宋_GB2312" w:hAnsi="仿宋_GB2312" w:eastAsia="仿宋_GB2312" w:cs="Times New Roman"/>
                <w:kern w:val="2"/>
                <w:sz w:val="24"/>
                <w:szCs w:val="24"/>
                <w:lang w:val="en-US" w:eastAsia="zh-CN" w:bidi="ar-SA"/>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（五）不予处理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（六）其他处理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cs="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5</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四、政府信息公开行政复议、行政诉讼情况</w:t>
      </w:r>
    </w:p>
    <w:tbl>
      <w:tblPr>
        <w:tblStyle w:val="4"/>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r>
    </w:tbl>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b w:val="0"/>
          <w:bCs w:val="0"/>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b w:val="0"/>
          <w:bCs w:val="0"/>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b w:val="0"/>
          <w:bCs w:val="0"/>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五、存在的主要问题及改进情况</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2023年，市农业农村局有序推进政府信息公开工作，不断丰富拓展“三农”领域信息公开内容范围，对照《政府信息公开条例》及有关规定要求，当前政府信息公开工作中仍然存在一些问题，比如：重大行政决策预公开意见征集还需进一步规范，政策公开和解读方式还需进一步完善，规章和行政规范性文件主动公开效率还需进一步提高等。</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下步，市农业农村局将继续落实上级关于全面推进政务公开工作的部署及对照年度政务公开工作要点等有关要求，积极准确回应群众关切、社会关注的“三农”领域，切实维护全市农民群众的知情权、参与权和监督权，助力加快建设共富共美现代化新慈溪。</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六、其他需要报告的事项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2023年1月1日至12月31日，本单位共收取信息处理费0元。</w:t>
      </w:r>
    </w:p>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慈溪市农业农村局</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hint="eastAsia" w:ascii="仿宋_GB2312" w:eastAsia="仿宋_GB2312"/>
          <w:color w:val="auto"/>
        </w:rPr>
      </w:pPr>
      <w:r>
        <w:rPr>
          <w:rFonts w:hint="eastAsia" w:ascii="仿宋_GB2312" w:hAnsi="仿宋_GB2312" w:eastAsia="仿宋_GB2312" w:cs="仿宋_GB2312"/>
          <w:color w:val="auto"/>
          <w:kern w:val="2"/>
          <w:sz w:val="32"/>
          <w:szCs w:val="32"/>
          <w:lang w:val="en-US" w:eastAsia="zh-CN" w:bidi="ar-SA"/>
        </w:rPr>
        <w:t>2023年1月9日</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pacing w:line="560" w:lineRule="exact"/>
        <w:textAlignment w:val="auto"/>
      </w:pPr>
    </w:p>
    <w:sectPr>
      <w:footerReference r:id="rId3" w:type="default"/>
      <w:pgSz w:w="11906" w:h="16838"/>
      <w:pgMar w:top="1440" w:right="1800" w:bottom="1440" w:left="1800" w:header="851" w:footer="1020"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379F33"/>
    <w:multiLevelType w:val="singleLevel"/>
    <w:tmpl w:val="1F379F3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E5281B"/>
    <w:rsid w:val="076F0163"/>
    <w:rsid w:val="095140A9"/>
    <w:rsid w:val="127800C7"/>
    <w:rsid w:val="12F41825"/>
    <w:rsid w:val="13D61E18"/>
    <w:rsid w:val="14D23F70"/>
    <w:rsid w:val="1D241E0F"/>
    <w:rsid w:val="1FA23DD1"/>
    <w:rsid w:val="2351194D"/>
    <w:rsid w:val="24A41DFF"/>
    <w:rsid w:val="27E7342F"/>
    <w:rsid w:val="2A9E1168"/>
    <w:rsid w:val="2EF148D6"/>
    <w:rsid w:val="39D31D91"/>
    <w:rsid w:val="3BED7C78"/>
    <w:rsid w:val="3D89076E"/>
    <w:rsid w:val="3E636C5C"/>
    <w:rsid w:val="40AC28B0"/>
    <w:rsid w:val="43444E4D"/>
    <w:rsid w:val="43F33A88"/>
    <w:rsid w:val="488E0DCA"/>
    <w:rsid w:val="48E5281B"/>
    <w:rsid w:val="4CBB79CA"/>
    <w:rsid w:val="4E94698C"/>
    <w:rsid w:val="518D0BA2"/>
    <w:rsid w:val="56801A71"/>
    <w:rsid w:val="56EC7387"/>
    <w:rsid w:val="62A22596"/>
    <w:rsid w:val="641E5492"/>
    <w:rsid w:val="65FC2BA8"/>
    <w:rsid w:val="685A5F72"/>
    <w:rsid w:val="6977495D"/>
    <w:rsid w:val="6C913626"/>
    <w:rsid w:val="6CBD4B2C"/>
    <w:rsid w:val="72F22724"/>
    <w:rsid w:val="74C21ED6"/>
    <w:rsid w:val="754824A3"/>
    <w:rsid w:val="795F6262"/>
    <w:rsid w:val="7A9B2D75"/>
    <w:rsid w:val="7C056D62"/>
    <w:rsid w:val="7C3B24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qFormat/>
    <w:uiPriority w:val="0"/>
    <w:rPr>
      <w:rFonts w:cs="Times New Roman"/>
    </w:rPr>
  </w:style>
  <w:style w:type="character" w:styleId="7">
    <w:name w:val="Emphasis"/>
    <w:basedOn w:val="5"/>
    <w:qFormat/>
    <w:uiPriority w:val="0"/>
    <w:rPr>
      <w: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111</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2022-01-19T02:07:00Z</dcterms:created>
  <dc:creator>yjy</dc:creator>
  <cp:lastModifiedBy>李郑颖</cp:lastModifiedBy>
  <cp:lastPrinted>2024-01-05T02:52:00Z</cp:lastPrinted>
  <dcterms:modified xsi:type="dcterms:W3CDTF">2024-01-16T02:53:51Z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999B1BFE43234D45B1AD240A78339BF2</vt:lpwstr>
  </property>
</Properties>
</file>