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2023年慈溪市</w:t>
      </w:r>
      <w:r>
        <w:rPr>
          <w:rFonts w:hint="eastAsia" w:ascii="方正小标宋简体" w:hAnsi="方正小标宋简体" w:eastAsia="方正小标宋简体" w:cs="方正小标宋简体"/>
          <w:sz w:val="36"/>
          <w:szCs w:val="36"/>
          <w:lang w:eastAsia="zh-CN"/>
        </w:rPr>
        <w:t>人民政府浒山街道办事处</w:t>
      </w:r>
      <w:r>
        <w:rPr>
          <w:rFonts w:hint="eastAsia" w:ascii="方正小标宋简体" w:hAnsi="方正小标宋简体" w:eastAsia="方正小标宋简体" w:cs="方正小标宋简体"/>
          <w:sz w:val="36"/>
          <w:szCs w:val="36"/>
        </w:rPr>
        <w:t>信息公开工作年度报告</w:t>
      </w:r>
    </w:p>
    <w:p>
      <w:pPr>
        <w:spacing w:beforeLines="0" w:afterLines="0" w:line="560" w:lineRule="exact"/>
        <w:ind w:firstLine="640" w:firstLineChars="200"/>
        <w:rPr>
          <w:rFonts w:hint="default" w:ascii="??_GB2312" w:hAnsi="??_GB2312" w:eastAsia="Times New Roman" w:cs="??_GB2312"/>
          <w:sz w:val="32"/>
          <w:szCs w:val="32"/>
        </w:rPr>
      </w:pPr>
    </w:p>
    <w:p>
      <w:pPr>
        <w:spacing w:beforeLines="0" w:afterLines="0" w:line="560" w:lineRule="exact"/>
        <w:ind w:firstLine="640" w:firstLineChars="200"/>
        <w:jc w:val="left"/>
        <w:rPr>
          <w:rFonts w:hint="default" w:ascii="黑体" w:hAnsi="黑体" w:eastAsia="黑体" w:cs="??_GB2312"/>
          <w:sz w:val="32"/>
          <w:szCs w:val="32"/>
        </w:rPr>
      </w:pPr>
      <w:r>
        <w:rPr>
          <w:rFonts w:hint="default" w:ascii="黑体" w:hAnsi="黑体" w:eastAsia="黑体" w:cs="宋体"/>
          <w:sz w:val="32"/>
          <w:szCs w:val="32"/>
        </w:rPr>
        <w:t>一、总体情况</w:t>
      </w:r>
    </w:p>
    <w:p>
      <w:pPr>
        <w:spacing w:beforeLines="0" w:afterLines="0" w:line="560" w:lineRule="exact"/>
        <w:ind w:firstLine="640" w:firstLineChars="200"/>
        <w:jc w:val="left"/>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2023年，</w:t>
      </w:r>
      <w:r>
        <w:rPr>
          <w:rFonts w:hint="eastAsia" w:ascii="仿宋_GB2312" w:hAnsi="宋体" w:eastAsia="仿宋_GB2312" w:cs="宋体"/>
          <w:sz w:val="32"/>
          <w:szCs w:val="32"/>
          <w:lang w:eastAsia="zh-CN"/>
        </w:rPr>
        <w:t>浒山街道办事处坚持以习近平新时代中国特色社会主义思想为指导，深入学习贯彻习近平总书记考察浙江重要讲话精神，严格按照《中华人民共和国政府信息公开条例》的要求，围绕街道的中心工作和民众关心的热点问题，不断深化政府信息公开管理制度，提升政府信息公开水平。现将本年度信息公开工作情况汇报如下：</w:t>
      </w:r>
    </w:p>
    <w:p>
      <w:pPr>
        <w:numPr>
          <w:ilvl w:val="0"/>
          <w:numId w:val="1"/>
        </w:numPr>
        <w:spacing w:beforeLines="0" w:afterLines="0" w:line="560" w:lineRule="exact"/>
        <w:ind w:firstLine="640" w:firstLineChars="200"/>
        <w:jc w:val="left"/>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主动公开情况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今年以来，我街道主动公开政府信息413条，其中通过政府网站公开政府信息90条，通过慈晓APP“阿拉浒山”本地号公开政府信息323条，内容包括工作动态、财政决算、救助结果、文化宣传等方面，进一步畅通信息公开渠道，提升政府信息的知晓度与透明度。</w:t>
      </w:r>
    </w:p>
    <w:p>
      <w:pPr>
        <w:numPr>
          <w:ilvl w:val="0"/>
          <w:numId w:val="1"/>
        </w:numPr>
        <w:spacing w:beforeLines="0" w:afterLines="0" w:line="560" w:lineRule="exact"/>
        <w:ind w:firstLine="640" w:firstLineChars="200"/>
        <w:jc w:val="left"/>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依申请公开情况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2023年，我街道严格按照《条例》和《规定》的要求，进一步健全依申请公开的申请、审核、办理、答复、归档等工作制度，做好依申请公开相关工作，共收到政府信息公开申请3件，均已按期答复并办结，申请人对答复无异议，答复率达100%。</w:t>
      </w:r>
    </w:p>
    <w:p>
      <w:pPr>
        <w:numPr>
          <w:ilvl w:val="0"/>
          <w:numId w:val="1"/>
        </w:numPr>
        <w:spacing w:beforeLines="0" w:afterLines="0" w:line="560" w:lineRule="exact"/>
        <w:ind w:firstLine="640" w:firstLineChars="200"/>
        <w:jc w:val="left"/>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政府信息管理情况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宋体" w:eastAsia="仿宋_GB2312" w:cs="宋体"/>
          <w:sz w:val="32"/>
          <w:szCs w:val="32"/>
          <w:lang w:eastAsia="zh-CN"/>
        </w:rPr>
      </w:pPr>
      <w:r>
        <w:rPr>
          <w:rFonts w:hint="eastAsia" w:ascii="仿宋_GB2312" w:hAnsi="宋体" w:eastAsia="仿宋_GB2312" w:cs="宋体"/>
          <w:b/>
          <w:bCs/>
          <w:sz w:val="32"/>
          <w:szCs w:val="32"/>
          <w:lang w:eastAsia="zh-CN"/>
        </w:rPr>
        <w:t>一是强化组织领导。</w:t>
      </w:r>
      <w:r>
        <w:rPr>
          <w:rFonts w:hint="eastAsia" w:ascii="仿宋_GB2312" w:hAnsi="宋体" w:eastAsia="仿宋_GB2312" w:cs="宋体"/>
          <w:sz w:val="32"/>
          <w:szCs w:val="32"/>
          <w:lang w:eastAsia="zh-CN"/>
        </w:rPr>
        <w:t>进一步建立健全政府信息公开工作制度，根据办公室人员变化情况，及时调整政府信息公开工作领导小组成员，并明确责任、细化到人，保障和推动我街道政府信息公开工作的持续发展。</w:t>
      </w:r>
      <w:r>
        <w:rPr>
          <w:rFonts w:hint="eastAsia" w:ascii="仿宋_GB2312" w:hAnsi="宋体" w:eastAsia="仿宋_GB2312" w:cs="宋体"/>
          <w:b/>
          <w:bCs/>
          <w:sz w:val="32"/>
          <w:szCs w:val="32"/>
          <w:lang w:eastAsia="zh-CN"/>
        </w:rPr>
        <w:t>二是完善内容质量。</w:t>
      </w:r>
      <w:r>
        <w:rPr>
          <w:rFonts w:hint="eastAsia" w:ascii="仿宋_GB2312" w:hAnsi="宋体" w:eastAsia="仿宋_GB2312" w:cs="宋体"/>
          <w:sz w:val="32"/>
          <w:szCs w:val="32"/>
          <w:lang w:eastAsia="zh-CN"/>
        </w:rPr>
        <w:t>在去年的工作基础上，更注重以图片、视频等多种形式进行信息公开，进一步增加政府信息的可看度与理解度。</w:t>
      </w:r>
      <w:r>
        <w:rPr>
          <w:rFonts w:hint="eastAsia" w:ascii="仿宋_GB2312" w:hAnsi="宋体" w:eastAsia="仿宋_GB2312" w:cs="宋体"/>
          <w:b/>
          <w:bCs/>
          <w:sz w:val="32"/>
          <w:szCs w:val="32"/>
          <w:lang w:eastAsia="zh-CN"/>
        </w:rPr>
        <w:t>三是保障信息准度。</w:t>
      </w:r>
      <w:r>
        <w:rPr>
          <w:rFonts w:hint="eastAsia" w:ascii="仿宋_GB2312" w:hAnsi="宋体" w:eastAsia="仿宋_GB2312" w:cs="宋体"/>
          <w:sz w:val="32"/>
          <w:szCs w:val="32"/>
          <w:lang w:eastAsia="zh-CN"/>
        </w:rPr>
        <w:t>完善政府信息制作、获取、保存、处理等方面的制度，强化统一政府信息公开平台日常维护，避免存在断链、错链或者内容错误的情况。</w:t>
      </w:r>
    </w:p>
    <w:p>
      <w:pPr>
        <w:numPr>
          <w:ilvl w:val="0"/>
          <w:numId w:val="1"/>
        </w:numPr>
        <w:spacing w:beforeLines="0" w:afterLines="0" w:line="560" w:lineRule="exact"/>
        <w:ind w:firstLine="640" w:firstLineChars="200"/>
        <w:jc w:val="left"/>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平台建设情况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依托慈溪市人民政府门户网站，按照政府信息公开目录完成网上信息公开、维护和更新，并及时补充完善我街道需公开的具体内容，不断规范政府信息公开的工作流程。持续做好慈晓APP“阿拉浒山”本地号的及时更新与发布，打造具有浒山特色的政府信息公开样板。</w:t>
      </w:r>
      <w:bookmarkStart w:id="0" w:name="_GoBack"/>
      <w:bookmarkEnd w:id="0"/>
    </w:p>
    <w:p>
      <w:pPr>
        <w:numPr>
          <w:ilvl w:val="0"/>
          <w:numId w:val="1"/>
        </w:numPr>
        <w:spacing w:beforeLines="0" w:afterLines="0" w:line="560" w:lineRule="exact"/>
        <w:ind w:firstLine="640" w:firstLineChars="200"/>
        <w:jc w:val="left"/>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监督保障情况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坚持以制度为保障，强化用权公开和政府信息发布管理；参与上级组织的政府信息公开相关培训，提升政府信息公开工作水平与能力；加强舆情应对的能力，主动回应社会关切，保障民众对政府信息的知情权；积极参加全市统一的政务公开社会评议并定期安规定发布责任追究情况。</w:t>
      </w:r>
    </w:p>
    <w:p>
      <w:pPr>
        <w:spacing w:beforeLines="0" w:afterLines="0" w:line="560" w:lineRule="exact"/>
        <w:ind w:firstLine="640" w:firstLineChars="200"/>
        <w:jc w:val="left"/>
        <w:rPr>
          <w:rFonts w:hint="default" w:ascii="黑体" w:hAnsi="黑体" w:eastAsia="黑体" w:cs="??_GB2312"/>
          <w:sz w:val="32"/>
          <w:szCs w:val="32"/>
        </w:rPr>
      </w:pPr>
      <w:r>
        <w:rPr>
          <w:rFonts w:hint="default" w:ascii="黑体" w:hAnsi="黑体" w:eastAsia="黑体" w:cs="宋体"/>
          <w:sz w:val="32"/>
          <w:szCs w:val="32"/>
        </w:rPr>
        <w:t>二、主动公开政府信息情况</w:t>
      </w:r>
    </w:p>
    <w:tbl>
      <w:tblPr>
        <w:tblStyle w:val="3"/>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本年废止件数</w:t>
            </w:r>
          </w:p>
        </w:tc>
        <w:tc>
          <w:tcPr>
            <w:tcW w:w="22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规章</w:t>
            </w:r>
          </w:p>
        </w:tc>
        <w:tc>
          <w:tcPr>
            <w:tcW w:w="25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22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22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1</w:t>
            </w:r>
          </w:p>
        </w:tc>
        <w:tc>
          <w:tcPr>
            <w:tcW w:w="22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2</w:t>
            </w:r>
          </w:p>
        </w:tc>
        <w:tc>
          <w:tcPr>
            <w:tcW w:w="223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highlight w:val="yellow"/>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6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bl>
    <w:p>
      <w:pPr>
        <w:spacing w:beforeLines="0" w:afterLines="0" w:line="560" w:lineRule="exact"/>
        <w:ind w:firstLine="640" w:firstLineChars="200"/>
        <w:jc w:val="left"/>
        <w:rPr>
          <w:rFonts w:hint="default" w:ascii="黑体" w:hAnsi="黑体" w:eastAsia="黑体" w:cs="??_GB2312"/>
          <w:sz w:val="32"/>
          <w:szCs w:val="32"/>
        </w:rPr>
      </w:pPr>
      <w:r>
        <w:rPr>
          <w:rFonts w:hint="default" w:ascii="黑体" w:hAnsi="黑体" w:eastAsia="黑体" w:cs="宋体"/>
          <w:sz w:val="32"/>
          <w:szCs w:val="32"/>
        </w:rPr>
        <w:t>三、收到和处理政府信息公开申请情况</w:t>
      </w:r>
    </w:p>
    <w:tbl>
      <w:tblPr>
        <w:tblStyle w:val="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宋体" w:hAnsi="Calibri" w:eastAsia="仿宋_GB2312"/>
                <w:sz w:val="18"/>
                <w:szCs w:val="24"/>
              </w:rPr>
            </w:pPr>
            <w:r>
              <w:rPr>
                <w:rFonts w:hint="default" w:ascii="仿宋_GB2312" w:hAnsi="宋体" w:eastAsia="仿宋_GB2312" w:cs="宋体"/>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宋体" w:hAnsi="Calibri" w:eastAsia="仿宋_GB2312"/>
                <w:sz w:val="18"/>
                <w:szCs w:val="24"/>
              </w:rPr>
            </w:pPr>
          </w:p>
        </w:tc>
        <w:tc>
          <w:tcPr>
            <w:tcW w:w="6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自</w:t>
            </w:r>
          </w:p>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然</w:t>
            </w:r>
          </w:p>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人</w:t>
            </w:r>
          </w:p>
        </w:tc>
        <w:tc>
          <w:tcPr>
            <w:tcW w:w="374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总</w:t>
            </w:r>
          </w:p>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宋体" w:hAnsi="Calibri" w:eastAsia="仿宋_GB2312"/>
                <w:sz w:val="18"/>
                <w:szCs w:val="24"/>
              </w:rPr>
            </w:pPr>
          </w:p>
        </w:tc>
        <w:tc>
          <w:tcPr>
            <w:tcW w:w="6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社会</w:t>
            </w:r>
          </w:p>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公益</w:t>
            </w:r>
          </w:p>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组织</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法律服务机构</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黑体" w:hAnsi="黑体" w:eastAsia="黑体"/>
                <w:sz w:val="24"/>
                <w:szCs w:val="24"/>
              </w:rPr>
            </w:pPr>
            <w:r>
              <w:rPr>
                <w:rFonts w:hint="default" w:ascii="黑体" w:hAnsi="黑体" w:eastAsia="黑体" w:cs="黑体"/>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5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r>
              <w:rPr>
                <w:rFonts w:hint="default" w:ascii="仿宋_GB2312" w:hAnsi="宋体" w:eastAsia="仿宋_GB2312"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宋体"/>
                <w:sz w:val="24"/>
                <w:szCs w:val="24"/>
              </w:rPr>
            </w:pPr>
            <w:r>
              <w:rPr>
                <w:rFonts w:hint="default" w:ascii="宋体" w:hAnsi="??_GB2312" w:eastAsia="宋体"/>
                <w:sz w:val="24"/>
                <w:szCs w:val="24"/>
              </w:rPr>
              <w:t>2</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1</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5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r>
              <w:rPr>
                <w:rFonts w:hint="default" w:ascii="仿宋_GB2312" w:hAnsi="宋体" w:eastAsia="仿宋_GB2312"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r>
              <w:rPr>
                <w:rFonts w:hint="default" w:ascii="仿宋_GB2312" w:hAnsi="宋体" w:eastAsia="仿宋_GB2312"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r>
              <w:rPr>
                <w:rFonts w:hint="default" w:ascii="仿宋_GB2312" w:hAnsi="宋体" w:eastAsia="仿宋_GB2312" w:cs="宋体"/>
                <w:sz w:val="24"/>
                <w:szCs w:val="24"/>
              </w:rPr>
              <w:t>（一）予以公开</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1</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r>
              <w:rPr>
                <w:rFonts w:hint="default" w:ascii="仿宋_GB2312" w:hAnsi="宋体" w:eastAsia="仿宋_GB2312"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（三）</w:t>
            </w:r>
          </w:p>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不予</w:t>
            </w:r>
          </w:p>
          <w:p>
            <w:pPr>
              <w:spacing w:beforeLines="0" w:afterLines="0" w:line="400" w:lineRule="exact"/>
              <w:jc w:val="center"/>
              <w:rPr>
                <w:rFonts w:hint="default" w:ascii="??_GB2312" w:hAnsi="??_GB2312" w:eastAsia="Times New Roman"/>
                <w:sz w:val="24"/>
                <w:szCs w:val="24"/>
              </w:rPr>
            </w:pPr>
            <w:r>
              <w:rPr>
                <w:rFonts w:hint="default" w:ascii="仿宋_GB2312" w:hAnsi="宋体" w:eastAsia="仿宋_GB2312" w:cs="宋体"/>
                <w:sz w:val="24"/>
                <w:szCs w:val="24"/>
              </w:rPr>
              <w:t>公开</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1.</w:t>
            </w:r>
            <w:r>
              <w:rPr>
                <w:rFonts w:hint="default" w:ascii="仿宋_GB2312" w:hAnsi="宋体" w:eastAsia="仿宋_GB2312"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2.</w:t>
            </w:r>
            <w:r>
              <w:rPr>
                <w:rFonts w:hint="default" w:ascii="仿宋_GB2312" w:hAnsi="宋体" w:eastAsia="仿宋_GB2312"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3.</w:t>
            </w:r>
            <w:r>
              <w:rPr>
                <w:rFonts w:hint="default" w:ascii="仿宋_GB2312" w:hAnsi="宋体" w:eastAsia="仿宋_GB2312" w:cs="宋体"/>
                <w:sz w:val="24"/>
                <w:szCs w:val="24"/>
              </w:rPr>
              <w:t>危及</w:t>
            </w:r>
            <w:r>
              <w:rPr>
                <w:rFonts w:hint="default" w:ascii="仿宋_GB2312" w:hAnsi="??_GB2312" w:eastAsia="仿宋_GB2312" w:cs="??_GB2312"/>
                <w:sz w:val="24"/>
                <w:szCs w:val="24"/>
              </w:rPr>
              <w:t>“</w:t>
            </w:r>
            <w:r>
              <w:rPr>
                <w:rFonts w:hint="default" w:ascii="仿宋_GB2312" w:hAnsi="宋体" w:eastAsia="仿宋_GB2312" w:cs="宋体"/>
                <w:sz w:val="24"/>
                <w:szCs w:val="24"/>
              </w:rPr>
              <w:t>三安全一稳定</w:t>
            </w:r>
            <w:r>
              <w:rPr>
                <w:rFonts w:hint="default" w:ascii="仿宋_GB2312" w:hAnsi="??_GB2312" w:eastAsia="仿宋_GB2312" w:cs="??_GB2312"/>
                <w:sz w:val="24"/>
                <w:szCs w:val="24"/>
              </w:rPr>
              <w:t>”</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4.</w:t>
            </w:r>
            <w:r>
              <w:rPr>
                <w:rFonts w:hint="default" w:ascii="仿宋_GB2312" w:hAnsi="宋体" w:eastAsia="仿宋_GB2312"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5.</w:t>
            </w:r>
            <w:r>
              <w:rPr>
                <w:rFonts w:hint="default" w:ascii="仿宋_GB2312" w:hAnsi="宋体" w:eastAsia="仿宋_GB2312"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6.</w:t>
            </w:r>
            <w:r>
              <w:rPr>
                <w:rFonts w:hint="default" w:ascii="仿宋_GB2312" w:hAnsi="宋体" w:eastAsia="仿宋_GB2312"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_GB2312"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7.</w:t>
            </w:r>
            <w:r>
              <w:rPr>
                <w:rFonts w:hint="default" w:ascii="仿宋_GB2312" w:hAnsi="宋体" w:eastAsia="仿宋_GB2312"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default" w:ascii="仿宋_GB2312" w:hAnsi="??_GB2312" w:eastAsia="仿宋_GB2312"/>
                <w:sz w:val="24"/>
                <w:szCs w:val="24"/>
              </w:rPr>
            </w:pPr>
            <w:r>
              <w:rPr>
                <w:rFonts w:hint="default" w:ascii="仿宋_GB2312" w:hAnsi="??_GB2312" w:eastAsia="仿宋_GB2312" w:cs="??_GB2312"/>
                <w:sz w:val="24"/>
                <w:szCs w:val="24"/>
              </w:rPr>
              <w:t>8.</w:t>
            </w:r>
            <w:r>
              <w:rPr>
                <w:rFonts w:hint="default" w:ascii="仿宋_GB2312" w:hAnsi="宋体" w:eastAsia="仿宋_GB2312"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（四）</w:t>
            </w:r>
          </w:p>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无法</w:t>
            </w:r>
          </w:p>
          <w:p>
            <w:pPr>
              <w:spacing w:beforeLines="0" w:afterLines="0" w:line="420" w:lineRule="exact"/>
              <w:jc w:val="center"/>
              <w:rPr>
                <w:rFonts w:hint="default" w:ascii="??_GB2312" w:hAnsi="??_GB2312" w:eastAsia="Times New Roman"/>
                <w:sz w:val="24"/>
                <w:szCs w:val="24"/>
              </w:rPr>
            </w:pPr>
            <w:r>
              <w:rPr>
                <w:rFonts w:hint="default" w:ascii="仿宋_GB2312" w:hAnsi="宋体" w:eastAsia="仿宋_GB2312" w:cs="宋体"/>
                <w:sz w:val="24"/>
                <w:szCs w:val="24"/>
              </w:rPr>
              <w:t>提供</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1.</w:t>
            </w:r>
            <w:r>
              <w:rPr>
                <w:rFonts w:hint="default" w:ascii="仿宋_GB2312" w:hAnsi="宋体" w:eastAsia="仿宋_GB2312"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2.</w:t>
            </w:r>
            <w:r>
              <w:rPr>
                <w:rFonts w:hint="default" w:ascii="仿宋_GB2312" w:hAnsi="宋体" w:eastAsia="仿宋_GB2312"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3.</w:t>
            </w:r>
            <w:r>
              <w:rPr>
                <w:rFonts w:hint="default" w:ascii="仿宋_GB2312" w:hAnsi="宋体" w:eastAsia="仿宋_GB2312"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（五）</w:t>
            </w:r>
          </w:p>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不予</w:t>
            </w:r>
          </w:p>
          <w:p>
            <w:pPr>
              <w:spacing w:beforeLines="0" w:afterLines="0" w:line="420" w:lineRule="exact"/>
              <w:jc w:val="center"/>
              <w:rPr>
                <w:rFonts w:hint="default" w:ascii="??_GB2312" w:hAnsi="??_GB2312" w:eastAsia="Times New Roman"/>
                <w:sz w:val="24"/>
                <w:szCs w:val="24"/>
              </w:rPr>
            </w:pPr>
            <w:r>
              <w:rPr>
                <w:rFonts w:hint="default" w:ascii="仿宋_GB2312"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1.</w:t>
            </w:r>
            <w:r>
              <w:rPr>
                <w:rFonts w:hint="default" w:ascii="仿宋_GB2312" w:hAnsi="宋体" w:eastAsia="仿宋_GB2312"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2.</w:t>
            </w:r>
            <w:r>
              <w:rPr>
                <w:rFonts w:hint="default" w:ascii="仿宋_GB2312" w:hAnsi="宋体" w:eastAsia="仿宋_GB2312" w:cs="宋体"/>
                <w:sz w:val="24"/>
                <w:szCs w:val="24"/>
              </w:rPr>
              <w:t>重复申请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3.</w:t>
            </w:r>
            <w:r>
              <w:rPr>
                <w:rFonts w:hint="default" w:ascii="仿宋_GB2312" w:hAnsi="宋体" w:eastAsia="仿宋_GB2312"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4.</w:t>
            </w:r>
            <w:r>
              <w:rPr>
                <w:rFonts w:hint="default" w:ascii="仿宋_GB2312" w:hAnsi="宋体" w:eastAsia="仿宋_GB2312"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sz w:val="24"/>
                <w:szCs w:val="24"/>
              </w:rPr>
            </w:pPr>
            <w:r>
              <w:rPr>
                <w:rFonts w:hint="default" w:ascii="仿宋_GB2312" w:hAnsi="??_GB2312" w:eastAsia="仿宋_GB2312" w:cs="??_GB2312"/>
                <w:sz w:val="24"/>
                <w:szCs w:val="24"/>
              </w:rPr>
              <w:t>5.</w:t>
            </w:r>
            <w:r>
              <w:rPr>
                <w:rFonts w:hint="default" w:ascii="仿宋_GB2312" w:hAnsi="宋体" w:eastAsia="仿宋_GB2312"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（六）</w:t>
            </w:r>
          </w:p>
          <w:p>
            <w:pPr>
              <w:spacing w:beforeLines="0" w:afterLines="0" w:line="42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其他</w:t>
            </w:r>
          </w:p>
          <w:p>
            <w:pPr>
              <w:spacing w:beforeLines="0" w:afterLines="0" w:line="420" w:lineRule="exact"/>
              <w:jc w:val="center"/>
              <w:rPr>
                <w:rFonts w:hint="default" w:ascii="??_GB2312" w:hAnsi="??_GB2312" w:eastAsia="Times New Roman"/>
                <w:sz w:val="24"/>
                <w:szCs w:val="24"/>
              </w:rPr>
            </w:pPr>
            <w:r>
              <w:rPr>
                <w:rFonts w:hint="default" w:ascii="仿宋_GB2312"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cs="??_GB2312"/>
                <w:sz w:val="24"/>
                <w:szCs w:val="24"/>
              </w:rPr>
            </w:pPr>
            <w:r>
              <w:rPr>
                <w:rFonts w:hint="default" w:ascii="仿宋_GB2312" w:hAnsi="??_GB2312" w:eastAsia="仿宋_GB2312" w:cs="??_GB2312"/>
                <w:sz w:val="24"/>
                <w:szCs w:val="24"/>
              </w:rPr>
              <w:t>1.</w:t>
            </w:r>
            <w:r>
              <w:rPr>
                <w:rFonts w:hint="default" w:ascii="仿宋_GB2312" w:hAnsi="宋体" w:eastAsia="仿宋_GB2312"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cs="??_GB2312"/>
                <w:sz w:val="24"/>
                <w:szCs w:val="24"/>
              </w:rPr>
            </w:pPr>
            <w:r>
              <w:rPr>
                <w:rFonts w:hint="default" w:ascii="仿宋_GB2312" w:hAnsi="??_GB2312" w:eastAsia="仿宋_GB2312" w:cs="??_GB2312"/>
                <w:sz w:val="24"/>
                <w:szCs w:val="24"/>
              </w:rPr>
              <w:t>2.</w:t>
            </w:r>
            <w:r>
              <w:rPr>
                <w:rFonts w:hint="default" w:ascii="仿宋_GB2312" w:hAnsi="宋体" w:eastAsia="仿宋_GB2312"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仿宋_GB2312" w:hAnsi="??_GB2312" w:eastAsia="仿宋_GB2312" w:cs="??_GB2312"/>
                <w:sz w:val="24"/>
                <w:szCs w:val="24"/>
              </w:rPr>
            </w:pPr>
            <w:r>
              <w:rPr>
                <w:rFonts w:hint="default" w:ascii="仿宋_GB2312" w:hAnsi="??_GB2312" w:eastAsia="仿宋_GB2312" w:cs="??_GB2312"/>
                <w:sz w:val="24"/>
                <w:szCs w:val="24"/>
              </w:rPr>
              <w:t>3.</w:t>
            </w:r>
            <w:r>
              <w:rPr>
                <w:rFonts w:hint="default" w:ascii="仿宋_GB2312" w:hAnsi="宋体" w:eastAsia="仿宋_GB2312" w:cs="宋体"/>
                <w:sz w:val="24"/>
                <w:szCs w:val="24"/>
              </w:rPr>
              <w:t>其他</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1</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1</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r>
              <w:rPr>
                <w:rFonts w:hint="default" w:ascii="仿宋_GB2312" w:hAnsi="宋体" w:eastAsia="仿宋_GB2312" w:cs="宋体"/>
                <w:sz w:val="24"/>
                <w:szCs w:val="24"/>
              </w:rPr>
              <w:t>（七）总计</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2</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1</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35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rPr>
                <w:rFonts w:hint="default" w:ascii="??_GB2312" w:hAnsi="??_GB2312" w:eastAsia="Times New Roman"/>
                <w:sz w:val="24"/>
                <w:szCs w:val="24"/>
              </w:rPr>
            </w:pPr>
            <w:r>
              <w:rPr>
                <w:rFonts w:hint="default" w:ascii="仿宋_GB2312" w:hAnsi="宋体" w:eastAsia="仿宋_GB2312"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9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60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c>
          <w:tcPr>
            <w:tcW w:w="7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default" w:ascii="宋体" w:hAnsi="??_GB2312" w:eastAsia="宋体"/>
                <w:sz w:val="24"/>
                <w:szCs w:val="24"/>
              </w:rPr>
            </w:pPr>
            <w:r>
              <w:rPr>
                <w:rFonts w:hint="default" w:ascii="宋体" w:hAnsi="??_GB2312" w:eastAsia="宋体"/>
                <w:sz w:val="24"/>
                <w:szCs w:val="24"/>
              </w:rPr>
              <w:t>0</w:t>
            </w:r>
          </w:p>
        </w:tc>
      </w:tr>
    </w:tbl>
    <w:p>
      <w:pPr>
        <w:spacing w:beforeLines="0" w:afterLines="0" w:line="560" w:lineRule="exact"/>
        <w:ind w:firstLine="640" w:firstLineChars="200"/>
        <w:rPr>
          <w:rFonts w:hint="default" w:ascii="黑体" w:hAnsi="黑体" w:eastAsia="黑体" w:cs="??_GB2312"/>
          <w:sz w:val="32"/>
          <w:szCs w:val="32"/>
        </w:rPr>
      </w:pPr>
      <w:r>
        <w:rPr>
          <w:rFonts w:hint="default" w:ascii="黑体" w:hAnsi="黑体" w:eastAsia="黑体" w:cs="宋体"/>
          <w:sz w:val="32"/>
          <w:szCs w:val="32"/>
        </w:rPr>
        <w:t>四、政府信息公开行政复议、行政诉讼情况</w:t>
      </w:r>
    </w:p>
    <w:tbl>
      <w:tblPr>
        <w:tblStyle w:val="3"/>
        <w:tblW w:w="9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3355"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黑体" w:hAnsi="黑体" w:eastAsia="黑体" w:cs="黑体"/>
                <w:sz w:val="24"/>
                <w:szCs w:val="24"/>
              </w:rPr>
            </w:pPr>
            <w:r>
              <w:rPr>
                <w:rFonts w:hint="default"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798" w:type="dxa"/>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结</w:t>
            </w:r>
          </w:p>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果</w:t>
            </w:r>
          </w:p>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维</w:t>
            </w:r>
          </w:p>
          <w:p>
            <w:pPr>
              <w:spacing w:beforeLines="0" w:afterLines="0" w:line="400" w:lineRule="exact"/>
              <w:jc w:val="center"/>
              <w:rPr>
                <w:rFonts w:hint="default" w:ascii="宋体" w:hAnsi="宋体" w:eastAsia="仿宋_GB2312" w:cs="宋体"/>
                <w:sz w:val="24"/>
                <w:szCs w:val="24"/>
              </w:rPr>
            </w:pPr>
            <w:r>
              <w:rPr>
                <w:rFonts w:hint="default" w:ascii="仿宋_GB2312" w:hAnsi="宋体" w:eastAsia="仿宋_GB2312" w:cs="宋体"/>
                <w:sz w:val="24"/>
                <w:szCs w:val="24"/>
              </w:rPr>
              <w:t>持</w:t>
            </w:r>
          </w:p>
        </w:tc>
        <w:tc>
          <w:tcPr>
            <w:tcW w:w="730" w:type="dxa"/>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结</w:t>
            </w:r>
          </w:p>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果</w:t>
            </w:r>
          </w:p>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纠</w:t>
            </w:r>
          </w:p>
          <w:p>
            <w:pPr>
              <w:spacing w:beforeLines="0" w:afterLines="0" w:line="400" w:lineRule="exact"/>
              <w:jc w:val="center"/>
              <w:rPr>
                <w:rFonts w:hint="default" w:ascii="宋体" w:hAnsi="宋体" w:eastAsia="仿宋_GB2312" w:cs="宋体"/>
                <w:sz w:val="24"/>
                <w:szCs w:val="24"/>
              </w:rPr>
            </w:pPr>
            <w:r>
              <w:rPr>
                <w:rFonts w:hint="default" w:ascii="仿宋_GB2312" w:hAnsi="宋体" w:eastAsia="仿宋_GB2312" w:cs="宋体"/>
                <w:sz w:val="24"/>
                <w:szCs w:val="24"/>
              </w:rPr>
              <w:t>正</w:t>
            </w:r>
          </w:p>
        </w:tc>
        <w:tc>
          <w:tcPr>
            <w:tcW w:w="583" w:type="dxa"/>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宋体" w:hAnsi="宋体" w:eastAsia="仿宋_GB2312" w:cs="宋体"/>
                <w:sz w:val="24"/>
                <w:szCs w:val="24"/>
              </w:rPr>
            </w:pPr>
            <w:r>
              <w:rPr>
                <w:rFonts w:hint="default" w:ascii="仿宋_GB2312" w:hAnsi="宋体" w:eastAsia="仿宋_GB2312"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宋体" w:hAnsi="宋体" w:eastAsia="仿宋_GB2312" w:cs="宋体"/>
                <w:sz w:val="24"/>
                <w:szCs w:val="24"/>
              </w:rPr>
            </w:pPr>
            <w:r>
              <w:rPr>
                <w:rFonts w:hint="default" w:ascii="仿宋_GB2312" w:hAnsi="宋体" w:eastAsia="仿宋_GB2312"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798"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p>
        </w:tc>
        <w:tc>
          <w:tcPr>
            <w:tcW w:w="730"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其他结果</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尚未审结</w:t>
            </w:r>
          </w:p>
        </w:tc>
        <w:tc>
          <w:tcPr>
            <w:tcW w:w="611"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总计</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其他结果</w:t>
            </w:r>
          </w:p>
        </w:tc>
        <w:tc>
          <w:tcPr>
            <w:tcW w:w="585"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尚未审结</w:t>
            </w:r>
          </w:p>
        </w:tc>
        <w:tc>
          <w:tcPr>
            <w:tcW w:w="775"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400" w:lineRule="exact"/>
              <w:jc w:val="center"/>
              <w:rPr>
                <w:rFonts w:hint="default" w:ascii="仿宋_GB2312" w:hAnsi="宋体" w:eastAsia="仿宋_GB2312" w:cs="宋体"/>
                <w:sz w:val="24"/>
                <w:szCs w:val="24"/>
              </w:rPr>
            </w:pPr>
            <w:r>
              <w:rPr>
                <w:rFonts w:hint="default" w:ascii="仿宋_GB2312" w:hAnsi="宋体" w:eastAsia="仿宋_GB2312" w:cs="宋体"/>
                <w:sz w:val="24"/>
                <w:szCs w:val="24"/>
              </w:rPr>
              <w:t>总</w:t>
            </w:r>
          </w:p>
          <w:p>
            <w:pPr>
              <w:spacing w:beforeLines="0" w:afterLines="0" w:line="400" w:lineRule="exact"/>
              <w:jc w:val="center"/>
              <w:rPr>
                <w:rFonts w:hint="default" w:ascii="??_GB2312" w:hAnsi="??_GB2312" w:eastAsia="Times New Roman" w:cs="??_GB2312"/>
                <w:sz w:val="24"/>
                <w:szCs w:val="24"/>
              </w:rPr>
            </w:pPr>
            <w:r>
              <w:rPr>
                <w:rFonts w:hint="default" w:ascii="仿宋_GB2312" w:hAnsi="宋体" w:eastAsia="仿宋_GB2312" w:cs="宋体"/>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798"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jc w:val="center"/>
              <w:rPr>
                <w:rFonts w:hint="default" w:ascii="Times New Roman" w:hAnsi="??_GB2312" w:eastAsia="Times New Roman" w:cs="??_GB2312"/>
                <w:sz w:val="32"/>
                <w:szCs w:val="32"/>
              </w:rPr>
            </w:pPr>
            <w:r>
              <w:rPr>
                <w:rFonts w:hint="default" w:ascii="宋体" w:hAnsi="??_GB2312" w:eastAsia="宋体" w:cs="??_GB2312"/>
                <w:sz w:val="32"/>
                <w:szCs w:val="32"/>
              </w:rPr>
              <w:t>0</w:t>
            </w:r>
          </w:p>
        </w:tc>
        <w:tc>
          <w:tcPr>
            <w:tcW w:w="730"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3"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3"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661"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29"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_GB2312" w:hAnsi="??_GB2312" w:eastAsia="宋体" w:cs="??_GB2312"/>
                <w:sz w:val="32"/>
                <w:szCs w:val="32"/>
              </w:rPr>
            </w:pPr>
            <w:r>
              <w:rPr>
                <w:rFonts w:hint="default" w:ascii="宋体" w:hAnsi="??_GB2312" w:eastAsia="宋体" w:cs="??_GB2312"/>
                <w:sz w:val="32"/>
                <w:szCs w:val="32"/>
              </w:rPr>
              <w:t>0</w:t>
            </w:r>
          </w:p>
        </w:tc>
        <w:tc>
          <w:tcPr>
            <w:tcW w:w="611"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4"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585"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c>
          <w:tcPr>
            <w:tcW w:w="775" w:type="dxa"/>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line="560" w:lineRule="exact"/>
              <w:rPr>
                <w:rFonts w:hint="default" w:ascii="宋体" w:hAnsi="??_GB2312" w:eastAsia="宋体" w:cs="??_GB2312"/>
                <w:sz w:val="32"/>
                <w:szCs w:val="32"/>
              </w:rPr>
            </w:pPr>
            <w:r>
              <w:rPr>
                <w:rFonts w:hint="default" w:ascii="宋体" w:hAnsi="??_GB2312" w:eastAsia="宋体" w:cs="??_GB2312"/>
                <w:sz w:val="32"/>
                <w:szCs w:val="32"/>
              </w:rPr>
              <w:t>0</w:t>
            </w:r>
          </w:p>
        </w:tc>
      </w:tr>
    </w:tbl>
    <w:p>
      <w:pPr>
        <w:spacing w:beforeLines="0" w:afterLines="0" w:line="560" w:lineRule="exact"/>
        <w:ind w:firstLine="640" w:firstLineChars="200"/>
        <w:rPr>
          <w:rFonts w:hint="default" w:ascii="黑体" w:hAnsi="黑体" w:eastAsia="黑体" w:cs="??_GB2312"/>
          <w:sz w:val="32"/>
          <w:szCs w:val="32"/>
        </w:rPr>
      </w:pPr>
      <w:r>
        <w:rPr>
          <w:rFonts w:hint="default" w:ascii="黑体" w:hAnsi="黑体" w:eastAsia="黑体" w:cs="宋体"/>
          <w:sz w:val="32"/>
          <w:szCs w:val="32"/>
        </w:rPr>
        <w:t>五、存在的主要问题及改进情况</w:t>
      </w:r>
    </w:p>
    <w:p>
      <w:pPr>
        <w:spacing w:beforeLines="0" w:afterLines="0" w:line="560" w:lineRule="exact"/>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2023年浒山街道政府信息公开工作总体情况良好，但仍存在一些问题：</w:t>
      </w:r>
      <w:r>
        <w:rPr>
          <w:rFonts w:hint="eastAsia" w:ascii="仿宋_GB2312" w:hAnsi="宋体" w:eastAsia="仿宋_GB2312" w:cs="宋体"/>
          <w:b/>
          <w:bCs/>
          <w:sz w:val="32"/>
          <w:szCs w:val="32"/>
          <w:lang w:val="en-US" w:eastAsia="zh-CN"/>
        </w:rPr>
        <w:t>一是</w:t>
      </w:r>
      <w:r>
        <w:rPr>
          <w:rFonts w:hint="eastAsia" w:ascii="仿宋_GB2312" w:hAnsi="宋体" w:eastAsia="仿宋_GB2312" w:cs="宋体"/>
          <w:sz w:val="32"/>
          <w:szCs w:val="32"/>
          <w:lang w:val="en-US" w:eastAsia="zh-CN"/>
        </w:rPr>
        <w:t>工作人员政府信息公开意识强弱不一，专业化水平有待提高；</w:t>
      </w:r>
      <w:r>
        <w:rPr>
          <w:rFonts w:hint="eastAsia" w:ascii="仿宋_GB2312" w:hAnsi="宋体" w:eastAsia="仿宋_GB2312" w:cs="宋体"/>
          <w:b/>
          <w:bCs/>
          <w:sz w:val="32"/>
          <w:szCs w:val="32"/>
          <w:lang w:val="en-US" w:eastAsia="zh-CN"/>
        </w:rPr>
        <w:t>二是</w:t>
      </w:r>
      <w:r>
        <w:rPr>
          <w:rFonts w:hint="eastAsia" w:ascii="仿宋_GB2312" w:hAnsi="宋体" w:eastAsia="仿宋_GB2312" w:cs="宋体"/>
          <w:sz w:val="32"/>
          <w:szCs w:val="32"/>
          <w:lang w:val="en-US" w:eastAsia="zh-CN"/>
        </w:rPr>
        <w:t>公开的信息不能完全满足社会公众的需求，尤其是政策解读等信息的公开形式不够丰富、多样。</w:t>
      </w:r>
    </w:p>
    <w:p>
      <w:pPr>
        <w:spacing w:beforeLines="0" w:afterLines="0" w:line="560" w:lineRule="exact"/>
        <w:ind w:firstLine="640" w:firstLineChars="200"/>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针对以上问题，浒山街道将进一步改进：</w:t>
      </w:r>
      <w:r>
        <w:rPr>
          <w:rFonts w:hint="eastAsia" w:ascii="仿宋_GB2312" w:hAnsi="宋体" w:eastAsia="仿宋_GB2312" w:cs="宋体"/>
          <w:b/>
          <w:bCs/>
          <w:sz w:val="32"/>
          <w:szCs w:val="32"/>
          <w:lang w:val="en-US" w:eastAsia="zh-CN"/>
        </w:rPr>
        <w:t>一是</w:t>
      </w:r>
      <w:r>
        <w:rPr>
          <w:rFonts w:hint="eastAsia" w:ascii="仿宋_GB2312" w:hAnsi="宋体" w:eastAsia="仿宋_GB2312" w:cs="宋体"/>
          <w:sz w:val="32"/>
          <w:szCs w:val="32"/>
          <w:lang w:val="en-US" w:eastAsia="zh-CN"/>
        </w:rPr>
        <w:t>以多种形式开展大规模培训，拟邀相关专家进街道开展讲座，增强街道各工作人员对《条例》的理解，并加强各科室之间的交流与沟通，提升我街道政府信息公开工作的规范化、法治化水平；</w:t>
      </w:r>
      <w:r>
        <w:rPr>
          <w:rFonts w:hint="eastAsia" w:ascii="仿宋_GB2312" w:hAnsi="宋体" w:eastAsia="仿宋_GB2312" w:cs="宋体"/>
          <w:b/>
          <w:bCs/>
          <w:sz w:val="32"/>
          <w:szCs w:val="32"/>
          <w:lang w:val="en-US" w:eastAsia="zh-CN"/>
        </w:rPr>
        <w:t>二是</w:t>
      </w:r>
      <w:r>
        <w:rPr>
          <w:rFonts w:hint="eastAsia" w:ascii="仿宋_GB2312" w:hAnsi="宋体" w:eastAsia="仿宋_GB2312" w:cs="宋体"/>
          <w:sz w:val="32"/>
          <w:szCs w:val="32"/>
          <w:lang w:val="en-US" w:eastAsia="zh-CN"/>
        </w:rPr>
        <w:t>创新丰富政策解读形式，提高政策解读的质量，做到切中要点、生动形象、通俗易懂，增强政策的亲和力、引导力与传播力。</w:t>
      </w:r>
    </w:p>
    <w:p>
      <w:pPr>
        <w:spacing w:beforeLines="0" w:afterLines="0" w:line="560" w:lineRule="exact"/>
        <w:ind w:firstLine="640" w:firstLineChars="200"/>
        <w:rPr>
          <w:rFonts w:hint="default" w:ascii="黑体" w:hAnsi="黑体" w:eastAsia="黑体" w:cs="??_GB2312"/>
          <w:sz w:val="32"/>
          <w:szCs w:val="32"/>
        </w:rPr>
      </w:pPr>
      <w:r>
        <w:rPr>
          <w:rFonts w:hint="default" w:ascii="黑体" w:hAnsi="黑体" w:eastAsia="黑体" w:cs="宋体"/>
          <w:sz w:val="32"/>
          <w:szCs w:val="32"/>
        </w:rPr>
        <w:t>六、其他需要报告的事项</w:t>
      </w:r>
    </w:p>
    <w:p>
      <w:pPr>
        <w:spacing w:beforeLines="0" w:afterLines="0" w:line="560" w:lineRule="exact"/>
        <w:ind w:firstLine="640" w:firstLineChars="200"/>
        <w:rPr>
          <w:rFonts w:hint="default" w:ascii="??_GB2312" w:hAnsi="??_GB2312" w:eastAsia="宋体" w:cs="??_GB2312"/>
          <w:sz w:val="32"/>
          <w:szCs w:val="32"/>
          <w:lang w:val="en-US" w:eastAsia="zh-CN"/>
        </w:rPr>
      </w:pPr>
      <w:r>
        <w:rPr>
          <w:rFonts w:hint="eastAsia" w:ascii="仿宋_GB2312" w:hAnsi="宋体" w:eastAsia="仿宋_GB2312" w:cs="宋体"/>
          <w:sz w:val="32"/>
          <w:szCs w:val="32"/>
          <w:lang w:val="en-US" w:eastAsia="zh-CN"/>
        </w:rPr>
        <w:t>2023年1月1日至12月31日，本单位共收取信息处理费0元。</w:t>
      </w:r>
    </w:p>
    <w:p>
      <w:pPr>
        <w:spacing w:beforeLines="0" w:afterLines="0" w:line="560" w:lineRule="exact"/>
        <w:ind w:firstLine="640" w:firstLineChars="200"/>
        <w:rPr>
          <w:rFonts w:hint="default" w:ascii="??_GB2312" w:hAnsi="??_GB2312" w:eastAsia="Times New Roman" w:cs="??_GB2312"/>
          <w:sz w:val="32"/>
          <w:szCs w:val="32"/>
        </w:rPr>
      </w:pPr>
    </w:p>
    <w:p>
      <w:pPr>
        <w:spacing w:beforeLines="0" w:afterLines="0" w:line="560" w:lineRule="exact"/>
        <w:ind w:firstLine="640" w:firstLineChars="200"/>
        <w:rPr>
          <w:rFonts w:hint="default" w:ascii="??_GB2312" w:hAnsi="??_GB2312" w:eastAsia="Times New Roman" w:cs="??_GB2312"/>
          <w:sz w:val="32"/>
          <w:szCs w:val="32"/>
        </w:rPr>
      </w:pPr>
    </w:p>
    <w:p>
      <w:pPr>
        <w:spacing w:beforeLines="0" w:afterLines="0" w:line="560" w:lineRule="exact"/>
        <w:ind w:firstLine="640" w:firstLineChars="200"/>
        <w:rPr>
          <w:rFonts w:hint="default" w:ascii="??_GB2312" w:hAnsi="??_GB2312" w:eastAsia="Times New Roman" w:cs="??_GB2312"/>
          <w:sz w:val="32"/>
          <w:szCs w:val="32"/>
        </w:rPr>
      </w:pPr>
    </w:p>
    <w:p>
      <w:pPr>
        <w:spacing w:beforeLines="0" w:afterLines="0" w:line="560" w:lineRule="exact"/>
        <w:ind w:firstLine="640" w:firstLineChars="200"/>
        <w:jc w:val="center"/>
        <w:rPr>
          <w:rFonts w:hint="eastAsia" w:ascii="??_GB2312" w:hAnsi="??_GB2312" w:eastAsia="宋体" w:cs="??_GB2312"/>
          <w:sz w:val="32"/>
          <w:szCs w:val="32"/>
          <w:lang w:eastAsia="zh-CN"/>
        </w:rPr>
      </w:pPr>
      <w:r>
        <w:rPr>
          <w:rFonts w:hint="default" w:ascii="??_GB2312" w:hAnsi="??_GB2312" w:eastAsia="Times New Roman" w:cs="??_GB2312"/>
          <w:sz w:val="32"/>
          <w:szCs w:val="32"/>
        </w:rPr>
        <w:t xml:space="preserve">                       </w:t>
      </w:r>
      <w:r>
        <w:rPr>
          <w:rFonts w:hint="eastAsia" w:ascii="仿宋_GB2312" w:hAnsi="宋体" w:eastAsia="仿宋_GB2312" w:cs="宋体"/>
          <w:sz w:val="32"/>
          <w:szCs w:val="32"/>
          <w:lang w:eastAsia="zh-CN"/>
        </w:rPr>
        <w:t>浒山街道办事处</w:t>
      </w:r>
    </w:p>
    <w:p>
      <w:pPr>
        <w:spacing w:beforeLines="0" w:afterLines="0" w:line="560" w:lineRule="exact"/>
        <w:ind w:firstLine="640" w:firstLineChars="200"/>
        <w:jc w:val="center"/>
        <w:rPr>
          <w:rFonts w:hint="default" w:ascii="??_GB2312" w:hAnsi="??_GB2312" w:eastAsia="宋体" w:cs="??_GB2312"/>
          <w:sz w:val="32"/>
          <w:szCs w:val="32"/>
          <w:lang w:val="en-US" w:eastAsia="zh-CN"/>
        </w:rPr>
      </w:pPr>
      <w:r>
        <w:rPr>
          <w:rFonts w:hint="default" w:ascii="??_GB2312" w:hAnsi="??_GB2312" w:eastAsia="Times New Roman" w:cs="??_GB2312"/>
          <w:sz w:val="32"/>
          <w:szCs w:val="32"/>
        </w:rPr>
        <w:t xml:space="preserve">                       </w:t>
      </w:r>
      <w:r>
        <w:rPr>
          <w:rFonts w:hint="eastAsia" w:ascii="仿宋_GB2312" w:hAnsi="宋体" w:eastAsia="仿宋_GB2312" w:cs="宋体"/>
          <w:sz w:val="32"/>
          <w:szCs w:val="32"/>
          <w:lang w:val="en-US" w:eastAsia="zh-CN"/>
        </w:rPr>
        <w:t>2024年1月16日</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_GB2312">
    <w:altName w:val="DejaVu Math TeX Gyre"/>
    <w:panose1 w:val="00000000000000000000"/>
    <w:charset w:val="00"/>
    <w:family w:val="auto"/>
    <w:pitch w:val="default"/>
    <w:sig w:usb0="00000000" w:usb1="00000000" w:usb2="00000000" w:usb3="00000000" w:csb0="00040001" w:csb1="00000000"/>
  </w:font>
  <w:font w:name="DejaVu Math TeX Gyre">
    <w:panose1 w:val="02000503000000000000"/>
    <w:charset w:val="00"/>
    <w:family w:val="auto"/>
    <w:pitch w:val="default"/>
    <w:sig w:usb0="A10000EF" w:usb1="4201F9EE" w:usb2="02000000" w:usb3="00000000" w:csb0="60000193" w:csb1="0DD4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1" w:csb1="00000000"/>
  </w:font>
  <w:font w:name="方正仿宋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8FC743"/>
    <w:multiLevelType w:val="singleLevel"/>
    <w:tmpl w:val="F68FC74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FDE2628"/>
    <w:rsid w:val="B9F77DC8"/>
    <w:rsid w:val="E3DF9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character" w:styleId="5">
    <w:name w:val="page number"/>
    <w:unhideWhenUsed/>
    <w:qFormat/>
    <w:uiPriority w:val="0"/>
    <w:rPr>
      <w:rFonts w:hint="default"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2024-01-16T09:55:00Z</dcterms:created>
  <dc:creator>user</dc:creator>
  <cp:lastModifiedBy>user</cp:lastModifiedBy>
  <dcterms:modified xsi:type="dcterms:W3CDTF">2024-01-16T11:01:10Z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2052-11.8.2.1118</vt:lpwstr>
  </property>
  <property fmtid="{D5CDD505-2E9C-101B-9397-08002B2CF9AE}" pid="3" name="ICV">
    <vt:lpwstr>6D26F331CF000334FB00A5659BF91DC0</vt:lpwstr>
  </property>
</Properties>
</file>