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line="756" w:lineRule="atLeast"/>
        <w:ind w:left="0" w:firstLine="0"/>
        <w:jc w:val="center"/>
        <w:rPr>
          <w:rFonts w:hint="eastAsia" w:ascii="新宋体" w:hAnsi="新宋体" w:eastAsia="新宋体" w:cs="新宋体"/>
          <w:b/>
          <w:i w:val="0"/>
          <w:caps w:val="0"/>
          <w:color w:val="FF0000"/>
          <w:spacing w:val="0"/>
          <w:sz w:val="63"/>
          <w:szCs w:val="63"/>
        </w:rPr>
      </w:pPr>
      <w:r>
        <w:rPr>
          <w:rFonts w:hint="eastAsia" w:ascii="新宋体" w:hAnsi="新宋体" w:eastAsia="新宋体" w:cs="新宋体"/>
          <w:b/>
          <w:i w:val="0"/>
          <w:caps w:val="0"/>
          <w:color w:val="FF0000"/>
          <w:spacing w:val="0"/>
          <w:kern w:val="0"/>
          <w:sz w:val="63"/>
          <w:szCs w:val="63"/>
          <w:shd w:val="clear" w:fill="FFFFFF"/>
          <w:lang w:val="en-US" w:eastAsia="zh-CN" w:bidi="ar"/>
        </w:rPr>
        <w:t>慈溪市民政局文件</w:t>
      </w:r>
    </w:p>
    <w:tbl>
      <w:tblPr>
        <w:tblW w:w="500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50" w:hRule="atLeast"/>
          <w:tblCellSpacing w:w="0" w:type="dxa"/>
        </w:trPr>
        <w:tc>
          <w:tcPr>
            <w:tcW w:w="9600" w:type="dxa"/>
            <w:shd w:val="clear" w:color="auto" w:fill="FFFFFF"/>
            <w:vAlign w:val="center"/>
          </w:tcPr>
          <w:p>
            <w:pPr>
              <w:rPr>
                <w:rFonts w:hint="eastAsia" w:ascii="黑体" w:hAnsi="宋体" w:eastAsia="黑体" w:cs="黑体"/>
                <w:i w:val="0"/>
                <w:caps w:val="0"/>
                <w:color w:val="000000"/>
                <w:spacing w:val="0"/>
                <w:sz w:val="27"/>
                <w:szCs w:val="27"/>
              </w:rPr>
            </w:pPr>
          </w:p>
        </w:tc>
      </w:tr>
    </w:tbl>
    <w:p>
      <w:pPr>
        <w:rPr>
          <w:vanish/>
          <w:sz w:val="24"/>
          <w:szCs w:val="24"/>
        </w:rPr>
      </w:pPr>
    </w:p>
    <w:tbl>
      <w:tblPr>
        <w:tblW w:w="500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0" w:type="auto"/>
            <w:shd w:val="clear" w:color="auto" w:fill="FFFFFF"/>
            <w:vAlign w:val="center"/>
          </w:tcPr>
          <w:p>
            <w:pPr>
              <w:keepNext w:val="0"/>
              <w:keepLines w:val="0"/>
              <w:widowControl/>
              <w:suppressLineNumbers w:val="0"/>
              <w:ind w:left="0" w:firstLine="0"/>
              <w:jc w:val="center"/>
              <w:rPr>
                <w:rFonts w:ascii="仿宋" w:hAnsi="仿宋" w:eastAsia="仿宋" w:cs="仿宋"/>
                <w:i w:val="0"/>
                <w:caps w:val="0"/>
                <w:color w:val="000000"/>
                <w:spacing w:val="0"/>
                <w:sz w:val="31"/>
                <w:szCs w:val="31"/>
              </w:rPr>
            </w:pPr>
            <w:r>
              <w:rPr>
                <w:rFonts w:hint="eastAsia" w:ascii="仿宋" w:hAnsi="仿宋" w:eastAsia="仿宋" w:cs="仿宋"/>
                <w:i w:val="0"/>
                <w:caps w:val="0"/>
                <w:color w:val="000000"/>
                <w:spacing w:val="0"/>
                <w:kern w:val="0"/>
                <w:sz w:val="31"/>
                <w:szCs w:val="31"/>
                <w:lang w:val="en-US" w:eastAsia="zh-CN" w:bidi="ar"/>
              </w:rPr>
              <w:t>慈民〔2021〕112号</w:t>
            </w:r>
          </w:p>
        </w:tc>
      </w:tr>
    </w:tbl>
    <w:p>
      <w:pPr>
        <w:rPr>
          <w:vanish/>
          <w:sz w:val="24"/>
          <w:szCs w:val="24"/>
        </w:rPr>
      </w:pPr>
    </w:p>
    <w:tbl>
      <w:tblPr>
        <w:tblW w:w="500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1" w:hRule="atLeast"/>
          <w:tblCellSpacing w:w="0" w:type="dxa"/>
        </w:trPr>
        <w:tc>
          <w:tcPr>
            <w:tcW w:w="0" w:type="auto"/>
            <w:tcBorders>
              <w:top w:val="single" w:color="FF0000" w:sz="18" w:space="0"/>
            </w:tcBorders>
            <w:shd w:val="clear" w:color="auto" w:fill="FFFFFF"/>
            <w:vAlign w:val="center"/>
          </w:tcPr>
          <w:p>
            <w:pPr>
              <w:rPr>
                <w:rFonts w:hint="eastAsia" w:ascii="黑体" w:hAnsi="宋体" w:eastAsia="黑体" w:cs="黑体"/>
                <w:i w:val="0"/>
                <w:caps w:val="0"/>
                <w:color w:val="000000"/>
                <w:spacing w:val="0"/>
                <w:sz w:val="27"/>
                <w:szCs w:val="27"/>
              </w:rPr>
            </w:pPr>
          </w:p>
        </w:tc>
      </w:tr>
    </w:tbl>
    <w:p>
      <w:pPr>
        <w:rPr>
          <w:vanish/>
          <w:sz w:val="24"/>
          <w:szCs w:val="24"/>
        </w:rPr>
      </w:pPr>
    </w:p>
    <w:tbl>
      <w:tblPr>
        <w:tblW w:w="500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95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0" w:type="auto"/>
            <w:shd w:val="clear" w:color="auto" w:fill="FFFFFF"/>
            <w:tcMar>
              <w:top w:w="645" w:type="dxa"/>
              <w:left w:w="600" w:type="dxa"/>
              <w:bottom w:w="495" w:type="dxa"/>
              <w:right w:w="600" w:type="dxa"/>
            </w:tcMar>
            <w:vAlign w:val="center"/>
          </w:tcPr>
          <w:p>
            <w:pPr>
              <w:keepNext w:val="0"/>
              <w:keepLines w:val="0"/>
              <w:widowControl/>
              <w:suppressLineNumbers w:val="0"/>
              <w:spacing w:line="560" w:lineRule="atLeast"/>
              <w:ind w:left="0" w:firstLine="0"/>
              <w:jc w:val="center"/>
              <w:textAlignment w:val="center"/>
              <w:rPr>
                <w:rFonts w:ascii="方正小标宋简体" w:hAnsi="方正小标宋简体" w:eastAsia="方正小标宋简体" w:cs="方正小标宋简体"/>
                <w:i w:val="0"/>
                <w:caps w:val="0"/>
                <w:color w:val="000000"/>
                <w:spacing w:val="0"/>
                <w:sz w:val="36"/>
                <w:szCs w:val="36"/>
              </w:rPr>
            </w:pPr>
            <w:bookmarkStart w:id="0" w:name="_GoBack"/>
            <w:r>
              <w:rPr>
                <w:rFonts w:hint="eastAsia" w:ascii="方正小标宋简体" w:hAnsi="方正小标宋简体" w:eastAsia="方正小标宋简体" w:cs="方正小标宋简体"/>
                <w:i w:val="0"/>
                <w:caps w:val="0"/>
                <w:color w:val="000000"/>
                <w:spacing w:val="0"/>
                <w:kern w:val="0"/>
                <w:sz w:val="36"/>
                <w:szCs w:val="36"/>
                <w:bdr w:val="none" w:color="auto" w:sz="0" w:space="0"/>
                <w:lang w:val="en-US" w:eastAsia="zh-CN" w:bidi="ar"/>
              </w:rPr>
              <w:t>慈溪市民政局关于公布继续有效和废止的规范性文件目录的通知</w:t>
            </w:r>
            <w:bookmarkEnd w:id="0"/>
          </w:p>
        </w:tc>
      </w:tr>
    </w:tbl>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r>
        <w:rPr>
          <w:rFonts w:hint="eastAsia" w:ascii="仿宋" w:hAnsi="仿宋" w:eastAsia="仿宋" w:cs="仿宋"/>
          <w:i w:val="0"/>
          <w:caps w:val="0"/>
          <w:color w:val="000000"/>
          <w:spacing w:val="0"/>
          <w:kern w:val="0"/>
          <w:sz w:val="28"/>
          <w:szCs w:val="28"/>
          <w:shd w:val="clear" w:fill="FFFFFF"/>
          <w:lang w:val="en-US" w:eastAsia="zh-CN" w:bidi="ar"/>
        </w:rPr>
        <w:t>　　　　　　　　　　　　　　　　　　　　　　　　BCXD10-2021-0003</w:t>
      </w:r>
      <w:r>
        <w:rPr>
          <w:rFonts w:hint="eastAsia" w:ascii="仿宋" w:hAnsi="仿宋" w:eastAsia="仿宋" w:cs="仿宋"/>
          <w:i w:val="0"/>
          <w:caps w:val="0"/>
          <w:color w:val="000000"/>
          <w:spacing w:val="0"/>
          <w:kern w:val="0"/>
          <w:sz w:val="28"/>
          <w:szCs w:val="28"/>
          <w:shd w:val="clear" w:fill="FFFFFF"/>
          <w:lang w:val="en-US" w:eastAsia="zh-CN" w:bidi="ar"/>
        </w:rPr>
        <w:br w:type="textWrapping"/>
      </w:r>
      <w:r>
        <w:rPr>
          <w:rFonts w:hint="eastAsia" w:ascii="仿宋" w:hAnsi="仿宋" w:eastAsia="仿宋" w:cs="仿宋"/>
          <w:i w:val="0"/>
          <w:caps w:val="0"/>
          <w:color w:val="000000"/>
          <w:spacing w:val="0"/>
          <w:kern w:val="0"/>
          <w:sz w:val="28"/>
          <w:szCs w:val="28"/>
          <w:shd w:val="clear" w:fill="FFFFFF"/>
          <w:lang w:val="en-US" w:eastAsia="zh-CN" w:bidi="ar"/>
        </w:rPr>
        <w:t>各镇（街道）社会事业办，局机关各科室、各局属单位：</w:t>
      </w:r>
      <w:r>
        <w:rPr>
          <w:rFonts w:hint="eastAsia" w:ascii="仿宋" w:hAnsi="仿宋" w:eastAsia="仿宋" w:cs="仿宋"/>
          <w:i w:val="0"/>
          <w:caps w:val="0"/>
          <w:color w:val="000000"/>
          <w:spacing w:val="0"/>
          <w:kern w:val="0"/>
          <w:sz w:val="28"/>
          <w:szCs w:val="28"/>
          <w:shd w:val="clear" w:fill="FFFFFF"/>
          <w:lang w:val="en-US" w:eastAsia="zh-CN" w:bidi="ar"/>
        </w:rPr>
        <w:br w:type="textWrapping"/>
      </w:r>
      <w:r>
        <w:rPr>
          <w:rFonts w:hint="eastAsia" w:ascii="仿宋" w:hAnsi="仿宋" w:eastAsia="仿宋" w:cs="仿宋"/>
          <w:i w:val="0"/>
          <w:caps w:val="0"/>
          <w:color w:val="000000"/>
          <w:spacing w:val="0"/>
          <w:kern w:val="0"/>
          <w:sz w:val="28"/>
          <w:szCs w:val="28"/>
          <w:shd w:val="clear" w:fill="FFFFFF"/>
          <w:lang w:val="en-US" w:eastAsia="zh-CN" w:bidi="ar"/>
        </w:rPr>
        <w:t>　　为全面推进依法行政，加快建设法治政府，我局对2020年12月31日前自行制定的规范性文件进行了清理，共清理46件，其中继续有效26件（附件1）、废止20件（附件2），现予以公布。</w:t>
      </w:r>
      <w:r>
        <w:rPr>
          <w:rFonts w:hint="eastAsia" w:ascii="仿宋" w:hAnsi="仿宋" w:eastAsia="仿宋" w:cs="仿宋"/>
          <w:i w:val="0"/>
          <w:caps w:val="0"/>
          <w:color w:val="000000"/>
          <w:spacing w:val="0"/>
          <w:kern w:val="0"/>
          <w:sz w:val="28"/>
          <w:szCs w:val="28"/>
          <w:shd w:val="clear" w:fill="FFFFFF"/>
          <w:lang w:val="en-US" w:eastAsia="zh-CN" w:bidi="ar"/>
        </w:rPr>
        <w:br w:type="textWrapping"/>
      </w:r>
      <w:r>
        <w:rPr>
          <w:rFonts w:hint="eastAsia" w:ascii="仿宋" w:hAnsi="仿宋" w:eastAsia="仿宋" w:cs="仿宋"/>
          <w:i w:val="0"/>
          <w:caps w:val="0"/>
          <w:color w:val="000000"/>
          <w:spacing w:val="0"/>
          <w:kern w:val="0"/>
          <w:sz w:val="28"/>
          <w:szCs w:val="28"/>
          <w:shd w:val="clear" w:fill="FFFFFF"/>
          <w:lang w:val="en-US" w:eastAsia="zh-CN" w:bidi="ar"/>
        </w:rPr>
        <w:br w:type="textWrapping"/>
      </w:r>
      <w:r>
        <w:rPr>
          <w:rFonts w:hint="eastAsia" w:ascii="仿宋" w:hAnsi="仿宋" w:eastAsia="仿宋" w:cs="仿宋"/>
          <w:i w:val="0"/>
          <w:caps w:val="0"/>
          <w:color w:val="000000"/>
          <w:spacing w:val="0"/>
          <w:kern w:val="0"/>
          <w:sz w:val="28"/>
          <w:szCs w:val="28"/>
          <w:shd w:val="clear" w:fill="FFFFFF"/>
          <w:lang w:val="en-US" w:eastAsia="zh-CN" w:bidi="ar"/>
        </w:rPr>
        <w:t>　　附件：1．继续有效的慈溪市民政局规范性文件目录</w:t>
      </w:r>
      <w:r>
        <w:rPr>
          <w:rFonts w:hint="eastAsia" w:ascii="仿宋" w:hAnsi="仿宋" w:eastAsia="仿宋" w:cs="仿宋"/>
          <w:i w:val="0"/>
          <w:caps w:val="0"/>
          <w:color w:val="000000"/>
          <w:spacing w:val="0"/>
          <w:kern w:val="0"/>
          <w:sz w:val="28"/>
          <w:szCs w:val="28"/>
          <w:shd w:val="clear" w:fill="FFFFFF"/>
          <w:lang w:val="en-US" w:eastAsia="zh-CN" w:bidi="ar"/>
        </w:rPr>
        <w:br w:type="textWrapping"/>
      </w:r>
      <w:r>
        <w:rPr>
          <w:rFonts w:hint="eastAsia" w:ascii="仿宋" w:hAnsi="仿宋" w:eastAsia="仿宋" w:cs="仿宋"/>
          <w:i w:val="0"/>
          <w:caps w:val="0"/>
          <w:color w:val="000000"/>
          <w:spacing w:val="0"/>
          <w:kern w:val="0"/>
          <w:sz w:val="28"/>
          <w:szCs w:val="28"/>
          <w:shd w:val="clear" w:fill="FFFFFF"/>
          <w:lang w:val="en-US" w:eastAsia="zh-CN" w:bidi="ar"/>
        </w:rPr>
        <w:t>　　　　　2．废止的慈溪市民政局规范性文件目录</w:t>
      </w:r>
      <w:r>
        <w:rPr>
          <w:rFonts w:hint="eastAsia" w:ascii="仿宋" w:hAnsi="仿宋" w:eastAsia="仿宋" w:cs="仿宋"/>
          <w:i w:val="0"/>
          <w:caps w:val="0"/>
          <w:color w:val="000000"/>
          <w:spacing w:val="0"/>
          <w:kern w:val="0"/>
          <w:sz w:val="28"/>
          <w:szCs w:val="28"/>
          <w:shd w:val="clear" w:fill="FFFFFF"/>
          <w:lang w:val="en-US" w:eastAsia="zh-CN" w:bidi="ar"/>
        </w:rPr>
        <w:br w:type="textWrapping"/>
      </w:r>
      <w:r>
        <w:rPr>
          <w:rFonts w:hint="eastAsia" w:ascii="仿宋" w:hAnsi="仿宋" w:eastAsia="仿宋" w:cs="仿宋"/>
          <w:i w:val="0"/>
          <w:caps w:val="0"/>
          <w:color w:val="000000"/>
          <w:spacing w:val="0"/>
          <w:kern w:val="0"/>
          <w:sz w:val="28"/>
          <w:szCs w:val="28"/>
          <w:shd w:val="clear" w:fill="FFFFFF"/>
          <w:lang w:val="en-US" w:eastAsia="zh-CN" w:bidi="ar"/>
        </w:rPr>
        <w:t>　　　　　　　　　　　　　　　　　　　　　慈溪市民政局</w:t>
      </w:r>
      <w:r>
        <w:rPr>
          <w:rFonts w:hint="eastAsia" w:ascii="仿宋" w:hAnsi="仿宋" w:eastAsia="仿宋" w:cs="仿宋"/>
          <w:i w:val="0"/>
          <w:caps w:val="0"/>
          <w:color w:val="000000"/>
          <w:spacing w:val="0"/>
          <w:kern w:val="0"/>
          <w:sz w:val="28"/>
          <w:szCs w:val="28"/>
          <w:shd w:val="clear" w:fill="FFFFFF"/>
          <w:lang w:val="en-US" w:eastAsia="zh-CN" w:bidi="ar"/>
        </w:rPr>
        <w:br w:type="textWrapping"/>
      </w:r>
      <w:r>
        <w:rPr>
          <w:rFonts w:hint="eastAsia" w:ascii="仿宋" w:hAnsi="仿宋" w:eastAsia="仿宋" w:cs="仿宋"/>
          <w:i w:val="0"/>
          <w:caps w:val="0"/>
          <w:color w:val="000000"/>
          <w:spacing w:val="0"/>
          <w:kern w:val="0"/>
          <w:sz w:val="28"/>
          <w:szCs w:val="28"/>
          <w:shd w:val="clear" w:fill="FFFFFF"/>
          <w:lang w:val="en-US" w:eastAsia="zh-CN" w:bidi="ar"/>
        </w:rPr>
        <w:t>　　　　　　　　　　　　　　　　　　　　　2021年8月31日</w:t>
      </w:r>
      <w:r>
        <w:rPr>
          <w:rFonts w:hint="eastAsia" w:ascii="仿宋" w:hAnsi="仿宋" w:eastAsia="仿宋" w:cs="仿宋"/>
          <w:i w:val="0"/>
          <w:caps w:val="0"/>
          <w:color w:val="000000"/>
          <w:spacing w:val="0"/>
          <w:kern w:val="0"/>
          <w:sz w:val="28"/>
          <w:szCs w:val="28"/>
          <w:shd w:val="clear" w:fill="FFFFFF"/>
          <w:lang w:val="en-US" w:eastAsia="zh-CN" w:bidi="ar"/>
        </w:rPr>
        <w:br w:type="textWrapping"/>
      </w:r>
      <w:r>
        <w:rPr>
          <w:rFonts w:hint="eastAsia" w:ascii="仿宋" w:hAnsi="仿宋" w:eastAsia="仿宋" w:cs="仿宋"/>
          <w:i w:val="0"/>
          <w:caps w:val="0"/>
          <w:color w:val="000000"/>
          <w:spacing w:val="0"/>
          <w:kern w:val="0"/>
          <w:sz w:val="28"/>
          <w:szCs w:val="28"/>
          <w:shd w:val="clear" w:fill="FFFFFF"/>
          <w:lang w:val="en-US" w:eastAsia="zh-CN" w:bidi="ar"/>
        </w:rPr>
        <w:br w:type="textWrapping"/>
      </w:r>
      <w:r>
        <w:rPr>
          <w:rFonts w:hint="eastAsia" w:ascii="仿宋" w:hAnsi="仿宋" w:eastAsia="仿宋" w:cs="仿宋"/>
          <w:i w:val="0"/>
          <w:caps w:val="0"/>
          <w:color w:val="000000"/>
          <w:spacing w:val="0"/>
          <w:kern w:val="0"/>
          <w:sz w:val="28"/>
          <w:szCs w:val="28"/>
          <w:shd w:val="clear" w:fill="FFFFFF"/>
          <w:lang w:val="en-US" w:eastAsia="zh-CN" w:bidi="ar"/>
        </w:rPr>
        <w:t>　慈溪市民政局办公室　　　　　　　　　2021年8月31日印发 </w:t>
      </w:r>
    </w:p>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p>
    <w:tbl>
      <w:tblPr>
        <w:tblW w:w="99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765"/>
        <w:gridCol w:w="2595"/>
        <w:gridCol w:w="5250"/>
        <w:gridCol w:w="1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520" w:hRule="atLeast"/>
        </w:trPr>
        <w:tc>
          <w:tcPr>
            <w:tcW w:w="3360"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8"/>
                <w:szCs w:val="28"/>
                <w:u w:val="none"/>
              </w:rPr>
            </w:pPr>
            <w:r>
              <w:rPr>
                <w:rFonts w:hint="eastAsia" w:ascii="宋体" w:hAnsi="宋体" w:eastAsia="宋体" w:cs="宋体"/>
                <w:i w:val="0"/>
                <w:color w:val="000000"/>
                <w:kern w:val="0"/>
                <w:sz w:val="28"/>
                <w:szCs w:val="28"/>
                <w:u w:val="none"/>
                <w:bdr w:val="none" w:color="auto" w:sz="0" w:space="0"/>
                <w:lang w:val="en-US" w:eastAsia="zh-CN" w:bidi="ar"/>
              </w:rPr>
              <w:t>附件1：</w:t>
            </w:r>
          </w:p>
        </w:tc>
        <w:tc>
          <w:tcPr>
            <w:tcW w:w="5250" w:type="dxa"/>
            <w:tcBorders>
              <w:top w:val="nil"/>
              <w:left w:val="nil"/>
              <w:bottom w:val="nil"/>
              <w:right w:val="nil"/>
            </w:tcBorders>
            <w:shd w:val="clear"/>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320" w:type="dxa"/>
            <w:tcBorders>
              <w:top w:val="nil"/>
              <w:left w:val="nil"/>
              <w:bottom w:val="nil"/>
              <w:right w:val="nil"/>
            </w:tcBorders>
            <w:shd w:val="clear"/>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0" w:hRule="atLeast"/>
        </w:trPr>
        <w:tc>
          <w:tcPr>
            <w:tcW w:w="9930" w:type="dxa"/>
            <w:gridSpan w:val="4"/>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eastAsia" w:ascii="方正小标宋简体" w:hAnsi="方正小标宋简体" w:eastAsia="方正小标宋简体" w:cs="方正小标宋简体"/>
                <w:i w:val="0"/>
                <w:color w:val="000000"/>
                <w:kern w:val="0"/>
                <w:sz w:val="36"/>
                <w:szCs w:val="36"/>
                <w:u w:val="none"/>
                <w:bdr w:val="none" w:color="auto" w:sz="0" w:space="0"/>
                <w:lang w:val="en-US" w:eastAsia="zh-CN" w:bidi="ar"/>
              </w:rPr>
              <w:t>继续有效的慈溪市民政局行政规范性文件目录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序号</w:t>
            </w:r>
          </w:p>
        </w:tc>
        <w:tc>
          <w:tcPr>
            <w:tcW w:w="259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Style w:val="5"/>
                <w:bdr w:val="none" w:color="auto" w:sz="0" w:space="0"/>
                <w:lang w:val="en-US" w:eastAsia="zh-CN" w:bidi="ar"/>
              </w:rPr>
              <w:t>文     号</w:t>
            </w:r>
          </w:p>
        </w:tc>
        <w:tc>
          <w:tcPr>
            <w:tcW w:w="525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文件名称</w:t>
            </w:r>
          </w:p>
        </w:tc>
        <w:tc>
          <w:tcPr>
            <w:tcW w:w="132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清理结果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慈民社〔2002〕101号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关于出具火化遗体死亡证明的通知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慈民社〔2002〕48号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关于建立社会团体和民办非企业单位开展重大活动报告制度的通知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3</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慈民发〔2009〕131号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关于明确钦寸水库农村移民安置生活用地相关政策的通知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4</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慈民〔2010〕178号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关于印发慈溪市社会组织殡葬区划地名行政处罚裁量权细化量化标准的通知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5</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慈民事〔2012〕50号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慈溪市惠民殡葬政策操作细则</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6</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慈民民〔2012〕121号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关于进一步规范社会团体监督管理有关问题的通知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7</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慈民发〔2013〕237号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关于印发〈慈溪市养老服务补贴实施办法（试行）〉的通知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8</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慈民发〔2013〕238号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关于印发〈慈溪市养老服务补贴资格评估实施办法（试行）〉的通知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9</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慈民养〔2014〕50号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关于印发《慈溪市居家养老服务机构等级评定办法》的通知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10</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慈民救〔2014〕139号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关于调整农村困难群众住房救助标准的通知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11</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慈民民〔2014〕194号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关于做好基金会登记管理工作通知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12</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慈老服组办〔2014〕2号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关于印发《慈溪市居家养老（日间照料）服务补助资金使用管理实施细则》（暂行）的通知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13</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慈民养〔2014〕232号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关于印发《慈溪市日间照料服务规范》的通知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14</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慈社组办〔2015〕3号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关于印发《慈溪市基层社会组织备案管理办法（试行）》的通知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15</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慈民养〔2015〕198号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关于调整养老护理员特殊岗位津贴的通知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16</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慈民养〔2016〕176号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关于印发《慈溪市困难残疾人生活补贴实施办法》和《慈溪市重度残疾人护理补贴实施办法》的通知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17</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慈民养〔2018〕50号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关于调整最低生活保障家庭成员失智失能托（安）养补助标准的通知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18</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慈民养〔2017〕39号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关于调整最低生活保障家庭成员失智失能托（安）养补助标准的通知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19</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慈民民〔2017〕72号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慈溪市民政局关于印发《慈溪市行业协会商会负责人任职管理办法（试行）》的通知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20</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慈民事〔2019〕4号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慈溪市民政局、慈溪市发展和改革委员会、慈溪市财政局关于调整完善《慈溪市惠民殡葬政策操作细则》的通知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21</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慈民养〔2019〕47号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关于调整我市高龄老人生活津贴发放标准的通知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22</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慈民〔2019〕66号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关于进一步加强和改进临时救助工作的通知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23</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慈民养〔2019〕70号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关于调整我市重度残疾人护理补贴标准的通知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24</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慈民救〔2019〕111号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 xml:space="preserve"> 关于调整特困人员有关补助标准的通知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25</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慈民养[2019]146号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慈溪市民政局 慈溪市财政局 关于印发《慈溪市居家养老服务补助资金使用管理办法》的通知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6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26</w:t>
            </w:r>
          </w:p>
        </w:tc>
        <w:tc>
          <w:tcPr>
            <w:tcW w:w="25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慈民养[2019]147号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慈溪市民政局 慈溪市财政局 慈溪市卫生健康局 关于印发《慈溪市居家养老服务补助实施办法》的通知</w:t>
            </w:r>
          </w:p>
        </w:tc>
        <w:tc>
          <w:tcPr>
            <w:tcW w:w="13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保留</w:t>
            </w:r>
          </w:p>
        </w:tc>
      </w:tr>
    </w:tbl>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p>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p>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p>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p>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p>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p>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p>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p>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p>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p>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p>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p>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p>
    <w:tbl>
      <w:tblPr>
        <w:tblW w:w="988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40"/>
        <w:gridCol w:w="2580"/>
        <w:gridCol w:w="5250"/>
        <w:gridCol w:w="12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420" w:hRule="atLeast"/>
        </w:trPr>
        <w:tc>
          <w:tcPr>
            <w:tcW w:w="3420" w:type="dxa"/>
            <w:gridSpan w:val="2"/>
            <w:tcBorders>
              <w:top w:val="nil"/>
              <w:left w:val="nil"/>
              <w:bottom w:val="nil"/>
              <w:right w:val="nil"/>
            </w:tcBorders>
            <w:shd w:val="clear"/>
            <w:noWrap/>
            <w:tcMar>
              <w:top w:w="15" w:type="dxa"/>
              <w:left w:w="15" w:type="dxa"/>
              <w:right w:w="15" w:type="dxa"/>
            </w:tcMar>
            <w:vAlign w:val="center"/>
          </w:tcPr>
          <w:p>
            <w:pPr>
              <w:keepNext w:val="0"/>
              <w:keepLines w:val="0"/>
              <w:widowControl/>
              <w:suppressLineNumbers w:val="0"/>
              <w:jc w:val="left"/>
              <w:textAlignment w:val="center"/>
              <w:rPr>
                <w:rFonts w:ascii="仿宋_GB2312" w:hAnsi="宋体" w:eastAsia="仿宋_GB2312" w:cs="仿宋_GB2312"/>
                <w:i w:val="0"/>
                <w:color w:val="000000"/>
                <w:sz w:val="28"/>
                <w:szCs w:val="28"/>
                <w:u w:val="none"/>
              </w:rPr>
            </w:pPr>
            <w:r>
              <w:rPr>
                <w:rFonts w:hint="eastAsia" w:ascii="仿宋_GB2312" w:hAnsi="宋体" w:eastAsia="仿宋_GB2312" w:cs="仿宋_GB2312"/>
                <w:i w:val="0"/>
                <w:color w:val="000000"/>
                <w:kern w:val="0"/>
                <w:sz w:val="28"/>
                <w:szCs w:val="28"/>
                <w:u w:val="none"/>
                <w:bdr w:val="none" w:color="auto" w:sz="0" w:space="0"/>
                <w:lang w:val="en-US" w:eastAsia="zh-CN" w:bidi="ar"/>
              </w:rPr>
              <w:t>附件2：</w:t>
            </w:r>
          </w:p>
        </w:tc>
        <w:tc>
          <w:tcPr>
            <w:tcW w:w="5250" w:type="dxa"/>
            <w:tcBorders>
              <w:top w:val="nil"/>
              <w:left w:val="nil"/>
              <w:bottom w:val="nil"/>
              <w:right w:val="nil"/>
            </w:tcBorders>
            <w:shd w:val="clear"/>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215" w:type="dxa"/>
            <w:tcBorders>
              <w:top w:val="nil"/>
              <w:left w:val="nil"/>
              <w:bottom w:val="nil"/>
              <w:right w:val="nil"/>
            </w:tcBorders>
            <w:shd w:val="clear"/>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0" w:hRule="atLeast"/>
        </w:trPr>
        <w:tc>
          <w:tcPr>
            <w:tcW w:w="9885" w:type="dxa"/>
            <w:gridSpan w:val="4"/>
            <w:tcBorders>
              <w:top w:val="nil"/>
              <w:left w:val="nil"/>
              <w:bottom w:val="nil"/>
              <w:right w:val="nil"/>
            </w:tcBorders>
            <w:shd w:val="clear"/>
            <w:tcMar>
              <w:top w:w="15" w:type="dxa"/>
              <w:left w:w="15" w:type="dxa"/>
              <w:right w:w="15"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eastAsia" w:ascii="方正小标宋简体" w:hAnsi="方正小标宋简体" w:eastAsia="方正小标宋简体" w:cs="方正小标宋简体"/>
                <w:i w:val="0"/>
                <w:color w:val="000000"/>
                <w:kern w:val="0"/>
                <w:sz w:val="36"/>
                <w:szCs w:val="36"/>
                <w:u w:val="none"/>
                <w:bdr w:val="none" w:color="auto" w:sz="0" w:space="0"/>
                <w:lang w:val="en-US" w:eastAsia="zh-CN" w:bidi="ar"/>
              </w:rPr>
              <w:t>废止的慈溪市民政局行政规范性文件目录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序号</w:t>
            </w:r>
          </w:p>
        </w:tc>
        <w:tc>
          <w:tcPr>
            <w:tcW w:w="258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文     号</w:t>
            </w:r>
          </w:p>
        </w:tc>
        <w:tc>
          <w:tcPr>
            <w:tcW w:w="525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文件名称</w:t>
            </w:r>
          </w:p>
        </w:tc>
        <w:tc>
          <w:tcPr>
            <w:tcW w:w="1215"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bdr w:val="none" w:color="auto" w:sz="0" w:space="0"/>
                <w:lang w:val="en-US" w:eastAsia="zh-CN" w:bidi="ar"/>
              </w:rPr>
              <w:t>清理结果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慈民〔2004〕74号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关于印发《慈溪市民政局实施行政许可法办法》的通知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慈民救〔2009〕135号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关于进一步完善农村低保政策的通知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3</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慈民救〔2011〕85号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关于调整城乡最低生活保障标准即实施城乡一体标准一致最低生活保障制度的通知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4</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慈民民〔2013〕223号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关于开展四大类社会组织直接登记的通知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5</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慈民民〔2014〕193号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关于调整我市社会组织登记管理制度有关问题的通知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6</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慈民〔2016〕133号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《慈溪市社会救助家庭经济状况认定实施细则》</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7</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慈民养〔2018〕30号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关于调整我市困难残疾人生活补贴标准的通知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8</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慈民〔2018〕38号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关于印发《慈溪市医疗支出型贫困家庭最低生活保障实施办法》的通知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9</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auto"/>
                <w:kern w:val="0"/>
                <w:sz w:val="24"/>
                <w:szCs w:val="24"/>
                <w:u w:val="none"/>
                <w:bdr w:val="none" w:color="auto" w:sz="0" w:space="0"/>
                <w:lang w:val="en-US" w:eastAsia="zh-CN" w:bidi="ar"/>
              </w:rPr>
              <w:fldChar w:fldCharType="begin"/>
            </w:r>
            <w:r>
              <w:rPr>
                <w:rFonts w:hint="eastAsia" w:ascii="仿宋_GB2312" w:hAnsi="宋体" w:eastAsia="仿宋_GB2312" w:cs="仿宋_GB2312"/>
                <w:i w:val="0"/>
                <w:color w:val="auto"/>
                <w:kern w:val="0"/>
                <w:sz w:val="24"/>
                <w:szCs w:val="24"/>
                <w:u w:val="none"/>
                <w:bdr w:val="none" w:color="auto" w:sz="0" w:space="0"/>
                <w:lang w:val="en-US" w:eastAsia="zh-CN" w:bidi="ar"/>
              </w:rPr>
              <w:instrText xml:space="preserve"> HYPERLINK "http://172.19.48.100/index.rsex?Out&amp;object=document&amp;kind=Info&amp;unid=48256C00001287B24825820A0014452A&amp;Key=" \o "http://172.19.48.100/index.rsex?Out&amp;object=document&amp;kind=Info&amp;unid=48256C00001287B24825820A0014452A&amp;Key=" </w:instrText>
            </w:r>
            <w:r>
              <w:rPr>
                <w:rFonts w:hint="eastAsia" w:ascii="仿宋_GB2312" w:hAnsi="宋体" w:eastAsia="仿宋_GB2312" w:cs="仿宋_GB2312"/>
                <w:i w:val="0"/>
                <w:color w:val="auto"/>
                <w:kern w:val="0"/>
                <w:sz w:val="24"/>
                <w:szCs w:val="24"/>
                <w:u w:val="none"/>
                <w:bdr w:val="none" w:color="auto" w:sz="0" w:space="0"/>
                <w:lang w:val="en-US" w:eastAsia="zh-CN" w:bidi="ar"/>
              </w:rPr>
              <w:fldChar w:fldCharType="separate"/>
            </w:r>
            <w:r>
              <w:rPr>
                <w:rStyle w:val="4"/>
                <w:rFonts w:hint="eastAsia" w:ascii="仿宋_GB2312" w:hAnsi="宋体" w:eastAsia="仿宋_GB2312" w:cs="仿宋_GB2312"/>
                <w:i w:val="0"/>
                <w:color w:val="auto"/>
                <w:sz w:val="24"/>
                <w:szCs w:val="24"/>
                <w:u w:val="none"/>
                <w:bdr w:val="none" w:color="auto" w:sz="0" w:space="0"/>
              </w:rPr>
              <w:t>慈民养〔2017〕163号</w:t>
            </w:r>
            <w:r>
              <w:rPr>
                <w:rFonts w:hint="eastAsia" w:ascii="仿宋_GB2312" w:hAnsi="宋体" w:eastAsia="仿宋_GB2312" w:cs="仿宋_GB2312"/>
                <w:i w:val="0"/>
                <w:color w:val="auto"/>
                <w:kern w:val="0"/>
                <w:sz w:val="24"/>
                <w:szCs w:val="24"/>
                <w:u w:val="none"/>
                <w:bdr w:val="none" w:color="auto" w:sz="0" w:space="0"/>
                <w:lang w:val="en-US" w:eastAsia="zh-CN" w:bidi="ar"/>
              </w:rPr>
              <w:fldChar w:fldCharType="end"/>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关于调整部分居家养老服务经费标准的通知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10</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慈民养〔2019〕14号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关于调整我市困难残疾人生活补贴标准的通知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11</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慈民事〔2019〕34号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关于调整2019年度孤儿和困境儿童基本生活费标准的通知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12</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慈民〔2019〕35号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关于公布二〇一九年慈溪市城镇居民住房保障家庭经济状况认定标准的通知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13</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慈民〔2019〕80号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 xml:space="preserve"> 关于提高农村“三老”人员（老党员遗属）生活补助标准的通知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14</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慈民救〔2019〕128号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 xml:space="preserve"> 关于调整精减退职职工和麻风病人生活困难补助费标准的通知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15</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慈民救〔2019〕131号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关于调整我市最低生活保障标准的通知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16</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慈民救〔2019〕145号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 xml:space="preserve"> 关于调整我市困难残疾人生活补贴标准的通知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17</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慈民救 〔2020〕23号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关于调整2020年度孤儿和困境儿童基本生活费标准的通知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18</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慈民救〔2020〕74号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关于调整我市最低生活保障标准的通知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19</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慈民〔2020〕90号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关于提高农村“三老”人员（老党员遗属）生活补助标准的通知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70" w:hRule="atLeast"/>
        </w:trPr>
        <w:tc>
          <w:tcPr>
            <w:tcW w:w="840" w:type="dxa"/>
            <w:tcBorders>
              <w:top w:val="single" w:color="000000" w:sz="4" w:space="0"/>
              <w:left w:val="single" w:color="000000" w:sz="4" w:space="0"/>
              <w:bottom w:val="single" w:color="000000" w:sz="4" w:space="0"/>
              <w:right w:val="single" w:color="000000" w:sz="4" w:space="0"/>
            </w:tcBorders>
            <w:shd w:val="clear"/>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20</w:t>
            </w:r>
          </w:p>
        </w:tc>
        <w:tc>
          <w:tcPr>
            <w:tcW w:w="258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慈民救〔2020〕87号</w:t>
            </w:r>
          </w:p>
        </w:tc>
        <w:tc>
          <w:tcPr>
            <w:tcW w:w="525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《关于调整我市困难残疾人生活补贴标准的通知》</w:t>
            </w:r>
          </w:p>
        </w:tc>
        <w:tc>
          <w:tcPr>
            <w:tcW w:w="12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bdr w:val="none" w:color="auto" w:sz="0" w:space="0"/>
                <w:lang w:val="en-US" w:eastAsia="zh-CN" w:bidi="ar"/>
              </w:rPr>
              <w:t>废止</w:t>
            </w:r>
          </w:p>
        </w:tc>
      </w:tr>
    </w:tbl>
    <w:p>
      <w:pPr>
        <w:keepNext w:val="0"/>
        <w:keepLines w:val="0"/>
        <w:widowControl/>
        <w:suppressLineNumbers w:val="0"/>
        <w:shd w:val="clear" w:fill="FFFFFF"/>
        <w:spacing w:line="560" w:lineRule="atLeast"/>
        <w:ind w:left="0" w:firstLine="0"/>
        <w:jc w:val="both"/>
        <w:rPr>
          <w:rFonts w:hint="eastAsia" w:ascii="仿宋" w:hAnsi="仿宋" w:eastAsia="仿宋" w:cs="仿宋"/>
          <w:i w:val="0"/>
          <w:caps w:val="0"/>
          <w:color w:val="000000"/>
          <w:spacing w:val="0"/>
          <w:kern w:val="0"/>
          <w:sz w:val="28"/>
          <w:szCs w:val="28"/>
          <w:shd w:val="clear" w:fill="FFFFFF"/>
          <w:lang w:val="en-US" w:eastAsia="zh-CN"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4473CD"/>
    <w:rsid w:val="384473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 w:type="character" w:customStyle="1" w:styleId="5">
    <w:name w:val="font31"/>
    <w:basedOn w:val="3"/>
    <w:uiPriority w:val="0"/>
    <w:rPr>
      <w:rFonts w:hint="eastAsia" w:ascii="黑体" w:hAnsi="宋体" w:eastAsia="黑体" w:cs="黑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2021-11-09T03:06:00Z</dcterms:created>
  <dc:creator>Administrator</dc:creator>
  <cp:lastModifiedBy>Administrator</cp:lastModifiedBy>
  <dcterms:modified xsi:type="dcterms:W3CDTF">2021-11-09T03:08:01Z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