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bookmarkStart w:id="0" w:name="_GoBack"/>
      <w:r>
        <w:rPr>
          <w:rFonts w:hint="eastAsia" w:ascii="黑体" w:hAnsi="黑体" w:eastAsia="黑体" w:cs="黑体"/>
          <w:sz w:val="44"/>
          <w:szCs w:val="44"/>
        </w:rPr>
        <w:t>慈溪市工业固体废物专项排查整治行动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工作方案</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创艺简标宋" w:eastAsia="创艺简标宋"/>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ascii="仿宋_GB2312" w:hAnsi="仿宋" w:eastAsia="仿宋_GB2312"/>
          <w:sz w:val="32"/>
          <w:szCs w:val="32"/>
        </w:rPr>
      </w:pPr>
      <w:r>
        <w:rPr>
          <w:rFonts w:hint="eastAsia" w:ascii="仿宋_GB2312" w:hAnsi="仿宋" w:eastAsia="仿宋_GB2312"/>
          <w:sz w:val="32"/>
          <w:szCs w:val="32"/>
        </w:rPr>
        <w:t>深刻汲取国家长江经济带曝光的镇海新福钛白粉有限公司固体废物污染周边环境问题及近期发生的宁海工业固体废物（铝灰）跨省非法转移倾倒案件的问题教训，举一反三，在我市范围集中开展工业固体废物专项排查整治行动，全面排查工业固体废物污染防治和环境监管方面存在的问题短板，持续提升工业固体废物污染防治水平，坚决打击涉工业固体废物环境违法行为，有力保障生态环境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二、主要内容及进度安排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（一）全面排查（2021年2月）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以铝灰（含铝灰渣、盐渣）、铝氧化污泥、碳钢酸洗污泥等</w:t>
      </w:r>
      <w:r>
        <w:rPr>
          <w:rFonts w:ascii="仿宋_GB2312" w:hAnsi="仿宋" w:eastAsia="仿宋_GB2312"/>
          <w:sz w:val="32"/>
          <w:szCs w:val="32"/>
        </w:rPr>
        <w:t>2021年新版《国家危险废物名录》调整后所涉及的工业固体废物为重点，全面排查</w:t>
      </w:r>
      <w:r>
        <w:rPr>
          <w:rFonts w:hint="eastAsia" w:ascii="仿宋_GB2312" w:hAnsi="仿宋" w:eastAsia="仿宋_GB2312"/>
          <w:sz w:val="32"/>
          <w:szCs w:val="32"/>
        </w:rPr>
        <w:t>产废企业及利用处置企业工业固体废物管理情况。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在前期铝灰</w:t>
      </w:r>
      <w:r>
        <w:rPr>
          <w:rFonts w:hint="eastAsia" w:ascii="仿宋_GB2312" w:hAnsi="仿宋" w:eastAsia="仿宋_GB2312"/>
          <w:sz w:val="32"/>
          <w:szCs w:val="32"/>
        </w:rPr>
        <w:t>（含</w:t>
      </w:r>
      <w:r>
        <w:rPr>
          <w:rFonts w:ascii="仿宋_GB2312" w:hAnsi="仿宋" w:eastAsia="仿宋_GB2312"/>
          <w:sz w:val="32"/>
          <w:szCs w:val="32"/>
        </w:rPr>
        <w:t>铝灰渣、</w:t>
      </w:r>
      <w:r>
        <w:rPr>
          <w:rFonts w:hint="eastAsia" w:ascii="仿宋_GB2312" w:hAnsi="仿宋" w:eastAsia="仿宋_GB2312"/>
          <w:sz w:val="32"/>
          <w:szCs w:val="32"/>
        </w:rPr>
        <w:t>盐渣）产生企业核实排查的基础上，梳理存在问题。将附件1-2表格在</w:t>
      </w:r>
      <w:r>
        <w:rPr>
          <w:rFonts w:ascii="仿宋_GB2312" w:hAnsi="仿宋" w:eastAsia="仿宋_GB2312"/>
          <w:sz w:val="32"/>
          <w:szCs w:val="32"/>
        </w:rPr>
        <w:t>2月</w:t>
      </w:r>
      <w:r>
        <w:rPr>
          <w:rFonts w:hint="eastAsia" w:ascii="仿宋_GB2312" w:hAnsi="仿宋" w:eastAsia="仿宋_GB2312"/>
          <w:sz w:val="32"/>
          <w:szCs w:val="32"/>
        </w:rPr>
        <w:t>28</w:t>
      </w:r>
      <w:r>
        <w:rPr>
          <w:rFonts w:ascii="仿宋_GB2312" w:hAnsi="仿宋" w:eastAsia="仿宋_GB2312"/>
          <w:sz w:val="32"/>
          <w:szCs w:val="32"/>
        </w:rPr>
        <w:t>前上报宁波市生态环境局慈溪分局。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hAnsi="仿宋" w:eastAsia="楷体_GB2312"/>
          <w:b/>
          <w:bCs/>
          <w:sz w:val="32"/>
          <w:szCs w:val="32"/>
        </w:rPr>
      </w:pPr>
      <w:r>
        <w:rPr>
          <w:rFonts w:hint="eastAsia" w:ascii="楷体_GB2312" w:hAnsi="仿宋" w:eastAsia="楷体_GB2312"/>
          <w:b/>
          <w:bCs/>
          <w:sz w:val="32"/>
          <w:szCs w:val="32"/>
        </w:rPr>
        <w:t>（二）边查边改（</w:t>
      </w:r>
      <w:r>
        <w:rPr>
          <w:rFonts w:ascii="楷体_GB2312" w:hAnsi="仿宋" w:eastAsia="楷体_GB2312"/>
          <w:b/>
          <w:bCs/>
          <w:sz w:val="32"/>
          <w:szCs w:val="32"/>
        </w:rPr>
        <w:t>2021年</w:t>
      </w:r>
      <w:r>
        <w:rPr>
          <w:rFonts w:hint="eastAsia" w:ascii="楷体_GB2312" w:hAnsi="仿宋" w:eastAsia="楷体_GB2312"/>
          <w:b/>
          <w:bCs/>
          <w:sz w:val="32"/>
          <w:szCs w:val="32"/>
        </w:rPr>
        <w:t>2月</w:t>
      </w:r>
      <w:r>
        <w:rPr>
          <w:rFonts w:ascii="楷体_GB2312" w:hAnsi="仿宋" w:eastAsia="楷体_GB2312"/>
          <w:b/>
          <w:bCs/>
          <w:sz w:val="32"/>
          <w:szCs w:val="32"/>
        </w:rPr>
        <w:t>-4月）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产生工业固体废物的单位应当建立健全工业固体废物产生、收集、贮存、运输、利用、处置全过程的污染环境防治责任制度，建立工业固体废物管理台账，如实记录产生工业固体废物的种类、数量、流向、贮存、利用、处置等信息，并采取防扬散、防流失、防渗漏等污染防治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产生工业固体废物的单位委托他人运输、利用、处置工业固体废物的，应当对受托方的主体资格和技术能力进行核实，依法签订书面合同，在合同中约定污染防治要求。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新纳入《国家危险废物名录》的危险废物应严格按照有关标准和要求落实监管，新移出《国家危险废物名录》的固体废物应通过环评分析、固废核查、危废鉴别等方式重新进行属性认定。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_GB2312" w:hAnsi="仿宋" w:eastAsia="仿宋_GB2312"/>
          <w:sz w:val="32"/>
          <w:szCs w:val="32"/>
        </w:rPr>
        <w:t>对照工业固废专项整治和危险废物专项执法的工作要求，完善工作机制，落实工作责任，进一步建立销号制度，确保问题全部“清零”。针对排查中发现的问题，应及时督促企业限期改正，对环境违法行为应同时移交生态环境所依法查处。排查整改总结材料请于</w:t>
      </w:r>
      <w:r>
        <w:rPr>
          <w:rFonts w:ascii="仿宋_GB2312" w:hAnsi="仿宋" w:eastAsia="仿宋_GB2312"/>
          <w:sz w:val="32"/>
          <w:szCs w:val="32"/>
        </w:rPr>
        <w:t>4月底前上报市生态环境局慈溪分局。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bCs/>
          <w:sz w:val="32"/>
          <w:szCs w:val="32"/>
        </w:rPr>
      </w:pPr>
      <w:r>
        <w:rPr>
          <w:rFonts w:hint="eastAsia" w:ascii="楷体_GB2312" w:hAnsi="仿宋" w:eastAsia="楷体_GB2312"/>
          <w:b/>
          <w:bCs/>
          <w:sz w:val="32"/>
          <w:szCs w:val="32"/>
        </w:rPr>
        <w:t>（三）迎检工作（</w:t>
      </w:r>
      <w:r>
        <w:rPr>
          <w:rFonts w:ascii="楷体_GB2312" w:hAnsi="仿宋" w:eastAsia="楷体_GB2312"/>
          <w:b/>
          <w:bCs/>
          <w:sz w:val="32"/>
          <w:szCs w:val="32"/>
        </w:rPr>
        <w:t>2021年5月）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充分做好迎接检查工作，宁波市生态环境局将在</w:t>
      </w:r>
      <w:r>
        <w:rPr>
          <w:rFonts w:ascii="仿宋_GB2312" w:hAnsi="仿宋" w:eastAsia="仿宋_GB2312"/>
          <w:sz w:val="32"/>
          <w:szCs w:val="32"/>
        </w:rPr>
        <w:t>5月份对我市整改情况开展专项抽查，抽查结果作为美丽宁波建设考核的重要依据。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hAnsi="仿宋" w:eastAsia="楷体_GB2312"/>
          <w:b/>
          <w:bCs/>
          <w:sz w:val="32"/>
          <w:szCs w:val="32"/>
        </w:rPr>
      </w:pPr>
      <w:r>
        <w:rPr>
          <w:rFonts w:hint="eastAsia" w:ascii="楷体_GB2312" w:hAnsi="仿宋" w:eastAsia="楷体_GB2312"/>
          <w:b/>
          <w:bCs/>
          <w:sz w:val="32"/>
          <w:szCs w:val="32"/>
        </w:rPr>
        <w:t>（四）长效管理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要认真总结此次专项排查整治行动成果，完善生态环境领域“双随机、一公开”监管执法体系，进一步提高工业固废管理能力，实现对工业固废的产生、收集、贮存、运输、利用、处置等环节全过程的监管。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三、工作要求</w:t>
      </w:r>
    </w:p>
    <w:p>
      <w:pPr>
        <w:keepNext w:val="0"/>
        <w:keepLines w:val="0"/>
        <w:pageBreakBefore w:val="0"/>
        <w:widowControl w:val="0"/>
        <w:kinsoku/>
        <w:wordWrap/>
        <w:overflowPunct/>
        <w:topLinePunct w:val="0"/>
        <w:autoSpaceDE/>
        <w:autoSpaceDN/>
        <w:bidi w:val="0"/>
        <w:adjustRightInd/>
        <w:snapToGrid/>
        <w:spacing w:line="560" w:lineRule="exact"/>
        <w:ind w:firstLine="482" w:firstLineChars="150"/>
        <w:textAlignment w:val="auto"/>
        <w:rPr>
          <w:rFonts w:ascii="仿宋" w:hAnsi="仿宋" w:eastAsia="仿宋"/>
          <w:sz w:val="32"/>
          <w:szCs w:val="32"/>
        </w:rPr>
      </w:pPr>
      <w:r>
        <w:rPr>
          <w:rFonts w:hint="eastAsia" w:ascii="楷体_GB2312" w:hAnsi="仿宋" w:eastAsia="楷体_GB2312"/>
          <w:b/>
          <w:bCs/>
          <w:sz w:val="32"/>
          <w:szCs w:val="32"/>
        </w:rPr>
        <w:t>（一）提高认识，精心组织。</w:t>
      </w:r>
      <w:r>
        <w:rPr>
          <w:rFonts w:hint="eastAsia" w:ascii="仿宋_GB2312" w:hAnsi="仿宋" w:eastAsia="仿宋_GB2312"/>
          <w:sz w:val="32"/>
          <w:szCs w:val="32"/>
        </w:rPr>
        <w:t>深刻认识固体废物污染防治工作在生态文明建设中的重要性，严格落实环境保护“党政同责”、“一岗双责”、“属地监管”等要求。要结合推进“无废城市”建设和工业固废专项整治要求，制定工作计划，加强执法监督和问题整改，形成上下联动、分级负责的排查整治工作格局。</w:t>
      </w:r>
    </w:p>
    <w:p>
      <w:pPr>
        <w:keepNext w:val="0"/>
        <w:keepLines w:val="0"/>
        <w:pageBreakBefore w:val="0"/>
        <w:widowControl w:val="0"/>
        <w:kinsoku/>
        <w:wordWrap/>
        <w:overflowPunct/>
        <w:topLinePunct w:val="0"/>
        <w:autoSpaceDE/>
        <w:autoSpaceDN/>
        <w:bidi w:val="0"/>
        <w:adjustRightInd/>
        <w:snapToGrid/>
        <w:spacing w:line="560" w:lineRule="exact"/>
        <w:ind w:firstLine="482" w:firstLineChars="150"/>
        <w:textAlignment w:val="auto"/>
        <w:rPr>
          <w:rFonts w:ascii="仿宋_GB2312" w:hAnsi="仿宋" w:eastAsia="仿宋_GB2312"/>
          <w:sz w:val="32"/>
          <w:szCs w:val="32"/>
        </w:rPr>
      </w:pPr>
      <w:r>
        <w:rPr>
          <w:rFonts w:hint="eastAsia" w:ascii="楷体_GB2312" w:hAnsi="仿宋" w:eastAsia="楷体_GB2312"/>
          <w:b/>
          <w:bCs/>
          <w:sz w:val="32"/>
          <w:szCs w:val="32"/>
        </w:rPr>
        <w:t>（二）严格监管，闭环管理。</w:t>
      </w:r>
      <w:r>
        <w:rPr>
          <w:rFonts w:hint="eastAsia" w:ascii="仿宋_GB2312" w:hAnsi="仿宋" w:eastAsia="仿宋_GB2312"/>
          <w:sz w:val="32"/>
          <w:szCs w:val="32"/>
        </w:rPr>
        <w:t>加强《中华人民共和国固体废物污染环境防治法》和《国家危险废物名录》的宣传，严格落实固体废物管理技术规范和制度，组织开展固废废物申报登记，依托信息化管理平台实现全过程管理。</w:t>
      </w:r>
    </w:p>
    <w:p>
      <w:pPr>
        <w:keepNext w:val="0"/>
        <w:keepLines w:val="0"/>
        <w:pageBreakBefore w:val="0"/>
        <w:widowControl w:val="0"/>
        <w:kinsoku/>
        <w:wordWrap/>
        <w:overflowPunct/>
        <w:topLinePunct w:val="0"/>
        <w:autoSpaceDE/>
        <w:autoSpaceDN/>
        <w:bidi w:val="0"/>
        <w:adjustRightInd/>
        <w:snapToGrid/>
        <w:spacing w:line="560" w:lineRule="exact"/>
        <w:ind w:firstLine="482" w:firstLineChars="150"/>
        <w:textAlignment w:val="auto"/>
        <w:rPr>
          <w:rFonts w:ascii="仿宋_GB2312" w:hAnsi="仿宋" w:eastAsia="仿宋_GB2312"/>
          <w:sz w:val="32"/>
          <w:szCs w:val="32"/>
        </w:rPr>
      </w:pPr>
      <w:r>
        <w:rPr>
          <w:rFonts w:hint="eastAsia" w:ascii="楷体_GB2312" w:hAnsi="仿宋" w:eastAsia="楷体_GB2312"/>
          <w:b/>
          <w:bCs/>
          <w:sz w:val="32"/>
          <w:szCs w:val="32"/>
        </w:rPr>
        <w:t>（三）举一反三，标本兼治。</w:t>
      </w:r>
      <w:r>
        <w:rPr>
          <w:rFonts w:hint="eastAsia" w:ascii="仿宋_GB2312" w:hAnsi="仿宋" w:eastAsia="仿宋_GB2312"/>
          <w:sz w:val="32"/>
          <w:szCs w:val="32"/>
        </w:rPr>
        <w:t>要督促企业切实履行工业固废管理主体责任。针对排查发现的问题要举一反三，按照“一般固废不出县，危险废物不出市”的原则，加快工业固体废物处置设施建设，</w:t>
      </w:r>
      <w:r>
        <w:rPr>
          <w:rFonts w:ascii="仿宋_GB2312" w:hAnsi="仿宋" w:eastAsia="仿宋_GB2312"/>
          <w:sz w:val="32"/>
          <w:szCs w:val="32"/>
        </w:rPr>
        <w:t>2021年底前基本实现辖区内一般工业固体废物利用处置能力与产生量相匹配。对暂时无法处置的</w:t>
      </w:r>
      <w:r>
        <w:rPr>
          <w:rFonts w:hint="eastAsia" w:ascii="仿宋_GB2312" w:hAnsi="仿宋" w:eastAsia="仿宋_GB2312"/>
          <w:sz w:val="32"/>
          <w:szCs w:val="32"/>
        </w:rPr>
        <w:t>工业固废应做好规范贮存。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sz w:val="32"/>
          <w:szCs w:val="32"/>
        </w:rPr>
      </w:pPr>
      <w:r>
        <w:rPr>
          <w:rFonts w:hint="eastAsia" w:ascii="楷体_GB2312" w:hAnsi="仿宋" w:eastAsia="楷体_GB2312"/>
          <w:b/>
          <w:bCs/>
          <w:sz w:val="32"/>
          <w:szCs w:val="32"/>
        </w:rPr>
        <w:t>（四）齐抓共管，严格执法。</w:t>
      </w:r>
      <w:r>
        <w:rPr>
          <w:rFonts w:hint="eastAsia" w:ascii="仿宋_GB2312" w:hAnsi="仿宋" w:eastAsia="仿宋_GB2312"/>
          <w:sz w:val="32"/>
          <w:szCs w:val="32"/>
        </w:rPr>
        <w:t>综合运用环评分析、固废核查、危废鉴别等手段，严格落实固体废物的源头管理。鼓励公众参与，设立有奖举报，严厉打击固体废物违法行为，涉嫌环境犯罪的，要及时移送公安机关依法追究刑事责任。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_GB2312" w:hAnsi="仿宋" w:eastAsia="仿宋_GB2312"/>
          <w:sz w:val="32"/>
          <w:szCs w:val="32"/>
        </w:rPr>
        <w:t>附件：</w:t>
      </w:r>
      <w:r>
        <w:rPr>
          <w:rFonts w:ascii="仿宋_GB2312" w:hAnsi="仿宋" w:eastAsia="仿宋_GB2312"/>
          <w:sz w:val="32"/>
          <w:szCs w:val="32"/>
        </w:rPr>
        <w:t xml:space="preserve"> </w:t>
      </w:r>
      <w:r>
        <w:rPr>
          <w:rFonts w:hint="eastAsia" w:ascii="仿宋_GB2312" w:hAnsi="仿宋" w:eastAsia="仿宋_GB2312"/>
          <w:sz w:val="32"/>
          <w:szCs w:val="32"/>
        </w:rPr>
        <w:t>1</w:t>
      </w:r>
      <w:r>
        <w:rPr>
          <w:rFonts w:ascii="仿宋_GB2312" w:hAnsi="仿宋" w:eastAsia="仿宋_GB2312"/>
          <w:sz w:val="32"/>
          <w:szCs w:val="32"/>
        </w:rPr>
        <w:t>.</w:t>
      </w:r>
      <w:r>
        <w:rPr>
          <w:rFonts w:hint="eastAsia" w:ascii="仿宋" w:hAnsi="仿宋" w:eastAsia="仿宋"/>
          <w:sz w:val="32"/>
          <w:szCs w:val="32"/>
        </w:rPr>
        <w:t xml:space="preserve"> 问题清单</w:t>
      </w:r>
    </w:p>
    <w:p>
      <w:pPr>
        <w:keepNext w:val="0"/>
        <w:keepLines w:val="0"/>
        <w:pageBreakBefore w:val="0"/>
        <w:widowControl w:val="0"/>
        <w:kinsoku/>
        <w:wordWrap/>
        <w:overflowPunct/>
        <w:topLinePunct w:val="0"/>
        <w:autoSpaceDE/>
        <w:autoSpaceDN/>
        <w:bidi w:val="0"/>
        <w:adjustRightInd/>
        <w:snapToGrid/>
        <w:spacing w:line="560" w:lineRule="exact"/>
        <w:ind w:firstLine="1760" w:firstLineChars="550"/>
        <w:textAlignment w:val="auto"/>
        <w:rPr>
          <w:rFonts w:ascii="仿宋" w:hAnsi="仿宋" w:eastAsia="仿宋"/>
          <w:sz w:val="32"/>
          <w:szCs w:val="32"/>
        </w:rPr>
      </w:pPr>
      <w:r>
        <w:rPr>
          <w:rFonts w:hint="eastAsia" w:ascii="仿宋" w:hAnsi="仿宋" w:eastAsia="仿宋"/>
          <w:sz w:val="32"/>
          <w:szCs w:val="32"/>
        </w:rPr>
        <w:t>2</w:t>
      </w:r>
      <w:r>
        <w:rPr>
          <w:rFonts w:ascii="仿宋_GB2312" w:hAnsi="仿宋" w:eastAsia="仿宋_GB2312"/>
          <w:sz w:val="32"/>
          <w:szCs w:val="32"/>
        </w:rPr>
        <w:t>.</w:t>
      </w:r>
      <w:r>
        <w:rPr>
          <w:rFonts w:hint="eastAsia" w:ascii="仿宋" w:hAnsi="仿宋" w:eastAsia="仿宋"/>
          <w:sz w:val="32"/>
          <w:szCs w:val="32"/>
        </w:rPr>
        <w:t>工作开展情况表</w:t>
      </w:r>
    </w:p>
    <w:p>
      <w:pPr>
        <w:rPr>
          <w:rFonts w:ascii="仿宋" w:hAnsi="仿宋" w:eastAsia="仿宋"/>
          <w:sz w:val="30"/>
          <w:szCs w:val="30"/>
        </w:rPr>
      </w:pPr>
    </w:p>
    <w:p>
      <w:pPr>
        <w:spacing w:line="560" w:lineRule="exact"/>
        <w:ind w:right="-8" w:rightChars="-4"/>
        <w:rPr>
          <w:rFonts w:ascii="仿宋" w:hAnsi="仿宋" w:eastAsia="仿宋"/>
          <w:b/>
          <w:sz w:val="32"/>
          <w:szCs w:val="32"/>
        </w:rPr>
      </w:pPr>
      <w:r>
        <w:rPr>
          <w:rFonts w:hint="eastAsia" w:ascii="仿宋" w:hAnsi="仿宋" w:eastAsia="仿宋"/>
          <w:sz w:val="32"/>
          <w:szCs w:val="32"/>
        </w:rPr>
        <w:t>附件1：</w:t>
      </w:r>
    </w:p>
    <w:p>
      <w:pPr>
        <w:spacing w:line="560" w:lineRule="exact"/>
        <w:ind w:right="-8" w:rightChars="-4"/>
        <w:jc w:val="center"/>
        <w:rPr>
          <w:rFonts w:ascii="仿宋" w:hAnsi="仿宋" w:eastAsia="仿宋"/>
          <w:b/>
          <w:sz w:val="32"/>
          <w:szCs w:val="32"/>
        </w:rPr>
      </w:pPr>
      <w:r>
        <w:rPr>
          <w:rFonts w:hint="eastAsia" w:ascii="仿宋" w:hAnsi="仿宋" w:eastAsia="仿宋"/>
          <w:b/>
          <w:sz w:val="32"/>
          <w:szCs w:val="32"/>
        </w:rPr>
        <w:t>问题清单</w:t>
      </w:r>
    </w:p>
    <w:p>
      <w:pPr>
        <w:spacing w:line="560" w:lineRule="exact"/>
        <w:ind w:right="-8" w:rightChars="-4"/>
        <w:rPr>
          <w:rFonts w:ascii="仿宋" w:hAnsi="仿宋" w:eastAsia="仿宋"/>
          <w:sz w:val="32"/>
          <w:szCs w:val="32"/>
        </w:rPr>
      </w:pPr>
      <w:r>
        <w:rPr>
          <w:rFonts w:hint="eastAsia" w:ascii="仿宋" w:hAnsi="仿宋" w:eastAsia="仿宋"/>
          <w:sz w:val="32"/>
          <w:szCs w:val="32"/>
        </w:rPr>
        <w:t>填报单位：                            时间：</w:t>
      </w:r>
    </w:p>
    <w:tbl>
      <w:tblPr>
        <w:tblStyle w:val="5"/>
        <w:tblW w:w="918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323"/>
        <w:gridCol w:w="1070"/>
        <w:gridCol w:w="1070"/>
        <w:gridCol w:w="1070"/>
        <w:gridCol w:w="1421"/>
        <w:gridCol w:w="992"/>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spacing w:line="560" w:lineRule="exact"/>
              <w:rPr>
                <w:rFonts w:eastAsia="黑体"/>
                <w:color w:val="000000"/>
                <w:szCs w:val="32"/>
              </w:rPr>
            </w:pPr>
            <w:r>
              <w:rPr>
                <w:rFonts w:eastAsia="黑体"/>
                <w:color w:val="000000"/>
                <w:szCs w:val="32"/>
              </w:rPr>
              <w:t>序号</w:t>
            </w:r>
          </w:p>
        </w:tc>
        <w:tc>
          <w:tcPr>
            <w:tcW w:w="1323" w:type="dxa"/>
          </w:tcPr>
          <w:p>
            <w:pPr>
              <w:spacing w:line="560" w:lineRule="exact"/>
              <w:rPr>
                <w:rFonts w:eastAsia="黑体"/>
                <w:color w:val="000000"/>
                <w:szCs w:val="32"/>
              </w:rPr>
            </w:pPr>
            <w:r>
              <w:rPr>
                <w:rFonts w:eastAsia="黑体"/>
                <w:color w:val="000000"/>
                <w:szCs w:val="32"/>
              </w:rPr>
              <w:t>问题名称</w:t>
            </w:r>
          </w:p>
        </w:tc>
        <w:tc>
          <w:tcPr>
            <w:tcW w:w="1070" w:type="dxa"/>
          </w:tcPr>
          <w:p>
            <w:pPr>
              <w:spacing w:line="560" w:lineRule="exact"/>
              <w:rPr>
                <w:rFonts w:eastAsia="黑体"/>
                <w:color w:val="000000"/>
                <w:szCs w:val="32"/>
              </w:rPr>
            </w:pPr>
            <w:r>
              <w:rPr>
                <w:rFonts w:eastAsia="黑体"/>
                <w:color w:val="000000"/>
                <w:szCs w:val="32"/>
              </w:rPr>
              <w:t>问题描述</w:t>
            </w:r>
          </w:p>
        </w:tc>
        <w:tc>
          <w:tcPr>
            <w:tcW w:w="1070" w:type="dxa"/>
          </w:tcPr>
          <w:p>
            <w:pPr>
              <w:spacing w:line="560" w:lineRule="exact"/>
              <w:rPr>
                <w:rFonts w:eastAsia="黑体"/>
                <w:color w:val="000000"/>
                <w:szCs w:val="32"/>
              </w:rPr>
            </w:pPr>
            <w:r>
              <w:rPr>
                <w:rFonts w:eastAsia="黑体"/>
                <w:color w:val="000000"/>
                <w:szCs w:val="32"/>
              </w:rPr>
              <w:t>责任主体</w:t>
            </w:r>
          </w:p>
        </w:tc>
        <w:tc>
          <w:tcPr>
            <w:tcW w:w="1070" w:type="dxa"/>
          </w:tcPr>
          <w:p>
            <w:pPr>
              <w:spacing w:line="560" w:lineRule="exact"/>
              <w:rPr>
                <w:rFonts w:eastAsia="黑体"/>
                <w:color w:val="000000"/>
                <w:szCs w:val="32"/>
              </w:rPr>
            </w:pPr>
            <w:r>
              <w:rPr>
                <w:rFonts w:eastAsia="黑体"/>
                <w:color w:val="000000"/>
                <w:szCs w:val="32"/>
              </w:rPr>
              <w:t>整改措施</w:t>
            </w:r>
          </w:p>
        </w:tc>
        <w:tc>
          <w:tcPr>
            <w:tcW w:w="1421" w:type="dxa"/>
          </w:tcPr>
          <w:p>
            <w:pPr>
              <w:spacing w:line="560" w:lineRule="exact"/>
              <w:rPr>
                <w:rFonts w:eastAsia="黑体"/>
                <w:color w:val="000000"/>
                <w:szCs w:val="32"/>
              </w:rPr>
            </w:pPr>
            <w:r>
              <w:rPr>
                <w:rFonts w:eastAsia="黑体"/>
                <w:color w:val="000000"/>
                <w:szCs w:val="32"/>
              </w:rPr>
              <w:t>是否整改到位</w:t>
            </w:r>
          </w:p>
        </w:tc>
        <w:tc>
          <w:tcPr>
            <w:tcW w:w="992" w:type="dxa"/>
          </w:tcPr>
          <w:p>
            <w:pPr>
              <w:spacing w:line="560" w:lineRule="exact"/>
              <w:rPr>
                <w:rFonts w:eastAsia="黑体"/>
                <w:color w:val="000000"/>
                <w:szCs w:val="32"/>
              </w:rPr>
            </w:pPr>
            <w:r>
              <w:rPr>
                <w:rFonts w:eastAsia="黑体"/>
                <w:color w:val="000000"/>
                <w:szCs w:val="32"/>
              </w:rPr>
              <w:t>整改时限</w:t>
            </w:r>
          </w:p>
        </w:tc>
        <w:tc>
          <w:tcPr>
            <w:tcW w:w="1417" w:type="dxa"/>
          </w:tcPr>
          <w:p>
            <w:pPr>
              <w:spacing w:line="560" w:lineRule="exact"/>
              <w:rPr>
                <w:rFonts w:eastAsia="黑体"/>
                <w:color w:val="000000"/>
                <w:szCs w:val="32"/>
              </w:rPr>
            </w:pPr>
            <w:r>
              <w:rPr>
                <w:rFonts w:eastAsia="黑体"/>
                <w:color w:val="000000"/>
                <w:szCs w:val="32"/>
              </w:rPr>
              <w:t>是否立案查处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spacing w:line="560" w:lineRule="exact"/>
              <w:rPr>
                <w:rFonts w:eastAsia="黑体"/>
                <w:color w:val="000000"/>
                <w:szCs w:val="32"/>
              </w:rPr>
            </w:pPr>
          </w:p>
        </w:tc>
        <w:tc>
          <w:tcPr>
            <w:tcW w:w="1323"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421" w:type="dxa"/>
          </w:tcPr>
          <w:p>
            <w:pPr>
              <w:spacing w:line="560" w:lineRule="exact"/>
              <w:rPr>
                <w:rFonts w:eastAsia="黑体"/>
                <w:color w:val="000000"/>
                <w:szCs w:val="32"/>
              </w:rPr>
            </w:pPr>
          </w:p>
        </w:tc>
        <w:tc>
          <w:tcPr>
            <w:tcW w:w="992" w:type="dxa"/>
          </w:tcPr>
          <w:p>
            <w:pPr>
              <w:spacing w:line="560" w:lineRule="exact"/>
              <w:rPr>
                <w:rFonts w:eastAsia="黑体"/>
                <w:color w:val="000000"/>
                <w:szCs w:val="32"/>
              </w:rPr>
            </w:pPr>
          </w:p>
        </w:tc>
        <w:tc>
          <w:tcPr>
            <w:tcW w:w="1417" w:type="dxa"/>
          </w:tcPr>
          <w:p>
            <w:pPr>
              <w:spacing w:line="560" w:lineRule="exact"/>
              <w:rPr>
                <w:rFonts w:eastAsia="黑体"/>
                <w:color w:val="000000"/>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spacing w:line="560" w:lineRule="exact"/>
              <w:rPr>
                <w:rFonts w:eastAsia="黑体"/>
                <w:color w:val="000000"/>
                <w:szCs w:val="32"/>
              </w:rPr>
            </w:pPr>
          </w:p>
        </w:tc>
        <w:tc>
          <w:tcPr>
            <w:tcW w:w="1323"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421" w:type="dxa"/>
          </w:tcPr>
          <w:p>
            <w:pPr>
              <w:spacing w:line="560" w:lineRule="exact"/>
              <w:rPr>
                <w:rFonts w:eastAsia="黑体"/>
                <w:color w:val="000000"/>
                <w:szCs w:val="32"/>
              </w:rPr>
            </w:pPr>
          </w:p>
        </w:tc>
        <w:tc>
          <w:tcPr>
            <w:tcW w:w="992" w:type="dxa"/>
          </w:tcPr>
          <w:p>
            <w:pPr>
              <w:spacing w:line="560" w:lineRule="exact"/>
              <w:rPr>
                <w:rFonts w:eastAsia="黑体"/>
                <w:color w:val="000000"/>
                <w:szCs w:val="32"/>
              </w:rPr>
            </w:pPr>
          </w:p>
        </w:tc>
        <w:tc>
          <w:tcPr>
            <w:tcW w:w="1417" w:type="dxa"/>
          </w:tcPr>
          <w:p>
            <w:pPr>
              <w:spacing w:line="560" w:lineRule="exact"/>
              <w:rPr>
                <w:rFonts w:eastAsia="黑体"/>
                <w:color w:val="000000"/>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spacing w:line="560" w:lineRule="exact"/>
              <w:rPr>
                <w:rFonts w:eastAsia="黑体"/>
                <w:color w:val="000000"/>
                <w:szCs w:val="32"/>
              </w:rPr>
            </w:pPr>
          </w:p>
        </w:tc>
        <w:tc>
          <w:tcPr>
            <w:tcW w:w="1323"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421" w:type="dxa"/>
          </w:tcPr>
          <w:p>
            <w:pPr>
              <w:spacing w:line="560" w:lineRule="exact"/>
              <w:rPr>
                <w:rFonts w:eastAsia="黑体"/>
                <w:color w:val="000000"/>
                <w:szCs w:val="32"/>
              </w:rPr>
            </w:pPr>
          </w:p>
        </w:tc>
        <w:tc>
          <w:tcPr>
            <w:tcW w:w="992" w:type="dxa"/>
          </w:tcPr>
          <w:p>
            <w:pPr>
              <w:spacing w:line="560" w:lineRule="exact"/>
              <w:rPr>
                <w:rFonts w:eastAsia="黑体"/>
                <w:color w:val="000000"/>
                <w:szCs w:val="32"/>
              </w:rPr>
            </w:pPr>
          </w:p>
        </w:tc>
        <w:tc>
          <w:tcPr>
            <w:tcW w:w="1417" w:type="dxa"/>
          </w:tcPr>
          <w:p>
            <w:pPr>
              <w:spacing w:line="560" w:lineRule="exact"/>
              <w:rPr>
                <w:rFonts w:eastAsia="黑体"/>
                <w:color w:val="000000"/>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spacing w:line="560" w:lineRule="exact"/>
              <w:rPr>
                <w:rFonts w:eastAsia="黑体"/>
                <w:color w:val="000000"/>
                <w:szCs w:val="32"/>
              </w:rPr>
            </w:pPr>
          </w:p>
        </w:tc>
        <w:tc>
          <w:tcPr>
            <w:tcW w:w="1323"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070" w:type="dxa"/>
          </w:tcPr>
          <w:p>
            <w:pPr>
              <w:spacing w:line="560" w:lineRule="exact"/>
              <w:rPr>
                <w:rFonts w:eastAsia="黑体"/>
                <w:color w:val="000000"/>
                <w:szCs w:val="32"/>
              </w:rPr>
            </w:pPr>
          </w:p>
        </w:tc>
        <w:tc>
          <w:tcPr>
            <w:tcW w:w="1421" w:type="dxa"/>
          </w:tcPr>
          <w:p>
            <w:pPr>
              <w:spacing w:line="560" w:lineRule="exact"/>
              <w:rPr>
                <w:rFonts w:eastAsia="黑体"/>
                <w:color w:val="000000"/>
                <w:szCs w:val="32"/>
              </w:rPr>
            </w:pPr>
          </w:p>
        </w:tc>
        <w:tc>
          <w:tcPr>
            <w:tcW w:w="992" w:type="dxa"/>
          </w:tcPr>
          <w:p>
            <w:pPr>
              <w:spacing w:line="560" w:lineRule="exact"/>
              <w:rPr>
                <w:rFonts w:eastAsia="黑体"/>
                <w:color w:val="000000"/>
                <w:szCs w:val="32"/>
              </w:rPr>
            </w:pPr>
          </w:p>
        </w:tc>
        <w:tc>
          <w:tcPr>
            <w:tcW w:w="1417" w:type="dxa"/>
          </w:tcPr>
          <w:p>
            <w:pPr>
              <w:spacing w:line="560" w:lineRule="exact"/>
              <w:rPr>
                <w:rFonts w:eastAsia="黑体"/>
                <w:color w:val="000000"/>
                <w:szCs w:val="32"/>
              </w:rPr>
            </w:pPr>
          </w:p>
        </w:tc>
      </w:tr>
    </w:tbl>
    <w:p>
      <w:pPr>
        <w:spacing w:line="560" w:lineRule="exact"/>
        <w:rPr>
          <w:rFonts w:eastAsia="黑体"/>
          <w:color w:val="000000"/>
          <w:szCs w:val="32"/>
        </w:rPr>
      </w:pPr>
    </w:p>
    <w:p>
      <w:pPr>
        <w:rPr>
          <w:rFonts w:ascii="仿宋" w:hAnsi="仿宋" w:eastAsia="仿宋"/>
          <w:sz w:val="32"/>
          <w:szCs w:val="32"/>
        </w:rPr>
      </w:pPr>
      <w:r>
        <w:rPr>
          <w:rFonts w:ascii="仿宋" w:hAnsi="仿宋" w:eastAsia="仿宋"/>
          <w:sz w:val="32"/>
          <w:szCs w:val="32"/>
        </w:rPr>
        <w:t>附件</w:t>
      </w:r>
      <w:r>
        <w:rPr>
          <w:rFonts w:hint="eastAsia" w:ascii="仿宋" w:hAnsi="仿宋" w:eastAsia="仿宋"/>
          <w:sz w:val="32"/>
          <w:szCs w:val="32"/>
        </w:rPr>
        <w:t>2：</w:t>
      </w:r>
    </w:p>
    <w:p>
      <w:pPr>
        <w:jc w:val="center"/>
        <w:rPr>
          <w:rFonts w:ascii="仿宋" w:hAnsi="仿宋" w:eastAsia="仿宋"/>
          <w:b/>
          <w:sz w:val="32"/>
          <w:szCs w:val="32"/>
        </w:rPr>
      </w:pPr>
      <w:r>
        <w:rPr>
          <w:rFonts w:hint="eastAsia" w:ascii="仿宋" w:hAnsi="仿宋" w:eastAsia="仿宋"/>
          <w:b/>
          <w:sz w:val="32"/>
          <w:szCs w:val="32"/>
        </w:rPr>
        <w:t>工作开展情况表</w:t>
      </w:r>
    </w:p>
    <w:p>
      <w:pPr>
        <w:spacing w:line="560" w:lineRule="exact"/>
        <w:ind w:right="-8" w:rightChars="-4"/>
        <w:rPr>
          <w:rFonts w:ascii="仿宋" w:hAnsi="仿宋" w:eastAsia="仿宋"/>
          <w:sz w:val="32"/>
          <w:szCs w:val="32"/>
        </w:rPr>
      </w:pPr>
      <w:r>
        <w:rPr>
          <w:rFonts w:hint="eastAsia" w:ascii="仿宋" w:hAnsi="仿宋" w:eastAsia="仿宋"/>
          <w:sz w:val="32"/>
          <w:szCs w:val="32"/>
        </w:rPr>
        <w:t>填报单位：                            时间：</w:t>
      </w:r>
    </w:p>
    <w:tbl>
      <w:tblPr>
        <w:tblStyle w:val="5"/>
        <w:tblW w:w="918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1"/>
        <w:gridCol w:w="1763"/>
        <w:gridCol w:w="1639"/>
        <w:gridCol w:w="1559"/>
        <w:gridCol w:w="1559"/>
        <w:gridCol w:w="15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rPr>
                <w:rFonts w:ascii="仿宋" w:hAnsi="仿宋" w:eastAsia="仿宋"/>
                <w:sz w:val="32"/>
                <w:szCs w:val="32"/>
              </w:rPr>
            </w:pPr>
            <w:r>
              <w:rPr>
                <w:rFonts w:hint="eastAsia" w:ascii="仿宋" w:hAnsi="仿宋" w:eastAsia="仿宋"/>
                <w:sz w:val="32"/>
                <w:szCs w:val="32"/>
              </w:rPr>
              <w:t>时间</w:t>
            </w:r>
          </w:p>
        </w:tc>
        <w:tc>
          <w:tcPr>
            <w:tcW w:w="1763" w:type="dxa"/>
          </w:tcPr>
          <w:p>
            <w:pPr>
              <w:rPr>
                <w:rFonts w:ascii="仿宋" w:hAnsi="仿宋" w:eastAsia="仿宋"/>
                <w:sz w:val="32"/>
                <w:szCs w:val="32"/>
              </w:rPr>
            </w:pPr>
            <w:r>
              <w:rPr>
                <w:rFonts w:hint="eastAsia" w:ascii="仿宋" w:hAnsi="仿宋" w:eastAsia="仿宋"/>
                <w:sz w:val="32"/>
                <w:szCs w:val="32"/>
              </w:rPr>
              <w:t>排查出动人次</w:t>
            </w:r>
          </w:p>
        </w:tc>
        <w:tc>
          <w:tcPr>
            <w:tcW w:w="1639" w:type="dxa"/>
          </w:tcPr>
          <w:p>
            <w:pPr>
              <w:rPr>
                <w:rFonts w:ascii="仿宋" w:hAnsi="仿宋" w:eastAsia="仿宋"/>
                <w:sz w:val="32"/>
                <w:szCs w:val="32"/>
              </w:rPr>
            </w:pPr>
            <w:r>
              <w:rPr>
                <w:rFonts w:hint="eastAsia" w:ascii="仿宋" w:hAnsi="仿宋" w:eastAsia="仿宋"/>
                <w:sz w:val="32"/>
                <w:szCs w:val="32"/>
              </w:rPr>
              <w:t>带队领导</w:t>
            </w:r>
          </w:p>
        </w:tc>
        <w:tc>
          <w:tcPr>
            <w:tcW w:w="1559" w:type="dxa"/>
          </w:tcPr>
          <w:p>
            <w:pPr>
              <w:rPr>
                <w:rFonts w:ascii="仿宋" w:hAnsi="仿宋" w:eastAsia="仿宋"/>
                <w:sz w:val="32"/>
                <w:szCs w:val="32"/>
              </w:rPr>
            </w:pPr>
            <w:r>
              <w:rPr>
                <w:rFonts w:hint="eastAsia" w:ascii="仿宋" w:hAnsi="仿宋" w:eastAsia="仿宋"/>
                <w:sz w:val="32"/>
                <w:szCs w:val="32"/>
              </w:rPr>
              <w:t>排查点个数</w:t>
            </w:r>
          </w:p>
        </w:tc>
        <w:tc>
          <w:tcPr>
            <w:tcW w:w="1559" w:type="dxa"/>
          </w:tcPr>
          <w:p>
            <w:pPr>
              <w:rPr>
                <w:rFonts w:ascii="仿宋" w:hAnsi="仿宋" w:eastAsia="仿宋"/>
                <w:sz w:val="32"/>
                <w:szCs w:val="32"/>
              </w:rPr>
            </w:pPr>
            <w:r>
              <w:rPr>
                <w:rFonts w:hint="eastAsia" w:ascii="仿宋" w:hAnsi="仿宋" w:eastAsia="仿宋"/>
                <w:sz w:val="32"/>
                <w:szCs w:val="32"/>
              </w:rPr>
              <w:t>发现问题个数</w:t>
            </w:r>
          </w:p>
        </w:tc>
        <w:tc>
          <w:tcPr>
            <w:tcW w:w="1559" w:type="dxa"/>
          </w:tcPr>
          <w:p>
            <w:pPr>
              <w:rPr>
                <w:rFonts w:ascii="仿宋" w:hAnsi="仿宋" w:eastAsia="仿宋"/>
                <w:sz w:val="32"/>
                <w:szCs w:val="32"/>
              </w:rPr>
            </w:pPr>
            <w:r>
              <w:rPr>
                <w:rFonts w:hint="eastAsia" w:ascii="仿宋" w:hAnsi="仿宋" w:eastAsia="仿宋"/>
                <w:sz w:val="32"/>
                <w:szCs w:val="32"/>
              </w:rPr>
              <w:t>问题名称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rPr>
                <w:rFonts w:ascii="仿宋" w:hAnsi="仿宋" w:eastAsia="仿宋"/>
                <w:sz w:val="32"/>
                <w:szCs w:val="32"/>
              </w:rPr>
            </w:pPr>
          </w:p>
        </w:tc>
        <w:tc>
          <w:tcPr>
            <w:tcW w:w="1763" w:type="dxa"/>
          </w:tcPr>
          <w:p>
            <w:pPr>
              <w:rPr>
                <w:rFonts w:ascii="仿宋" w:hAnsi="仿宋" w:eastAsia="仿宋"/>
                <w:sz w:val="32"/>
                <w:szCs w:val="32"/>
              </w:rPr>
            </w:pPr>
          </w:p>
        </w:tc>
        <w:tc>
          <w:tcPr>
            <w:tcW w:w="163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rPr>
                <w:rFonts w:ascii="仿宋" w:hAnsi="仿宋" w:eastAsia="仿宋"/>
                <w:sz w:val="32"/>
                <w:szCs w:val="32"/>
              </w:rPr>
            </w:pPr>
          </w:p>
        </w:tc>
        <w:tc>
          <w:tcPr>
            <w:tcW w:w="1763" w:type="dxa"/>
          </w:tcPr>
          <w:p>
            <w:pPr>
              <w:rPr>
                <w:rFonts w:ascii="仿宋" w:hAnsi="仿宋" w:eastAsia="仿宋"/>
                <w:sz w:val="32"/>
                <w:szCs w:val="32"/>
              </w:rPr>
            </w:pPr>
          </w:p>
        </w:tc>
        <w:tc>
          <w:tcPr>
            <w:tcW w:w="163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rPr>
                <w:rFonts w:ascii="仿宋" w:hAnsi="仿宋" w:eastAsia="仿宋"/>
                <w:sz w:val="32"/>
                <w:szCs w:val="32"/>
              </w:rPr>
            </w:pPr>
          </w:p>
        </w:tc>
        <w:tc>
          <w:tcPr>
            <w:tcW w:w="1763" w:type="dxa"/>
          </w:tcPr>
          <w:p>
            <w:pPr>
              <w:rPr>
                <w:rFonts w:ascii="仿宋" w:hAnsi="仿宋" w:eastAsia="仿宋"/>
                <w:sz w:val="32"/>
                <w:szCs w:val="32"/>
              </w:rPr>
            </w:pPr>
          </w:p>
        </w:tc>
        <w:tc>
          <w:tcPr>
            <w:tcW w:w="163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rPr>
                <w:rFonts w:ascii="仿宋" w:hAnsi="仿宋" w:eastAsia="仿宋"/>
                <w:sz w:val="32"/>
                <w:szCs w:val="32"/>
              </w:rPr>
            </w:pPr>
          </w:p>
        </w:tc>
        <w:tc>
          <w:tcPr>
            <w:tcW w:w="1763" w:type="dxa"/>
          </w:tcPr>
          <w:p>
            <w:pPr>
              <w:rPr>
                <w:rFonts w:ascii="仿宋" w:hAnsi="仿宋" w:eastAsia="仿宋"/>
                <w:sz w:val="32"/>
                <w:szCs w:val="32"/>
              </w:rPr>
            </w:pPr>
          </w:p>
        </w:tc>
        <w:tc>
          <w:tcPr>
            <w:tcW w:w="163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c>
          <w:tcPr>
            <w:tcW w:w="1559" w:type="dxa"/>
          </w:tcPr>
          <w:p>
            <w:pPr>
              <w:rPr>
                <w:rFonts w:ascii="仿宋" w:hAnsi="仿宋" w:eastAsia="仿宋"/>
                <w:sz w:val="32"/>
                <w:szCs w:val="32"/>
              </w:rPr>
            </w:pPr>
          </w:p>
        </w:tc>
      </w:tr>
    </w:tbl>
    <w:p>
      <w:pPr>
        <w:rPr>
          <w:rFonts w:ascii="仿宋" w:hAnsi="仿宋" w:eastAsia="仿宋"/>
          <w:sz w:val="32"/>
          <w:szCs w:val="32"/>
        </w:rPr>
      </w:pPr>
      <w:r>
        <w:rPr>
          <w:rFonts w:hint="eastAsia" w:ascii="仿宋" w:hAnsi="仿宋" w:eastAsia="仿宋"/>
          <w:sz w:val="32"/>
          <w:szCs w:val="32"/>
        </w:rPr>
        <w:t xml:space="preserve">   </w:t>
      </w:r>
    </w:p>
    <w:p>
      <w:pPr>
        <w:tabs>
          <w:tab w:val="left" w:pos="630"/>
        </w:tabs>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altName w:val="方正舒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83247"/>
    <w:rsid w:val="0005648A"/>
    <w:rsid w:val="000D3B73"/>
    <w:rsid w:val="000E39CF"/>
    <w:rsid w:val="00232DD8"/>
    <w:rsid w:val="00324CBF"/>
    <w:rsid w:val="00337975"/>
    <w:rsid w:val="003549ED"/>
    <w:rsid w:val="00395DDD"/>
    <w:rsid w:val="00482CD6"/>
    <w:rsid w:val="004F3661"/>
    <w:rsid w:val="00A83247"/>
    <w:rsid w:val="00AD6D6B"/>
    <w:rsid w:val="00BE2EBD"/>
    <w:rsid w:val="00C27173"/>
    <w:rsid w:val="00C2766E"/>
    <w:rsid w:val="00CD3240"/>
    <w:rsid w:val="00CF0377"/>
    <w:rsid w:val="00D515A0"/>
    <w:rsid w:val="00DD483E"/>
    <w:rsid w:val="00E2390F"/>
    <w:rsid w:val="00F6318C"/>
    <w:rsid w:val="00F90E65"/>
    <w:rsid w:val="00FE0572"/>
    <w:rsid w:val="00FF1DBA"/>
    <w:rsid w:val="17175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316</Words>
  <Characters>1806</Characters>
  <Lines>15</Lines>
  <Paragraphs>4</Paragraphs>
  <TotalTime>67</TotalTime>
  <ScaleCrop>false</ScaleCrop>
  <LinksUpToDate>false</LinksUpToDate>
  <CharactersWithSpaces>2118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2021-01-21T01:05:00Z</dcterms:created>
  <dc:creator>胡丹晖</dc:creator>
  <cp:lastModifiedBy>Administrator</cp:lastModifiedBy>
  <cp:lastPrinted>2021-02-22T06:31:19Z</cp:lastPrinted>
  <dcterms:modified xsi:type="dcterms:W3CDTF">2021-02-22T06:31:25Z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