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华文仿宋" w:hAnsi="华文仿宋" w:eastAsia="华文仿宋" w:cs="华文仿宋"/>
          <w:b/>
          <w:bCs/>
          <w:sz w:val="44"/>
          <w:szCs w:val="44"/>
          <w:lang w:val="en-US" w:eastAsia="zh-CN"/>
        </w:rPr>
      </w:pPr>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b/>
          <w:bCs/>
          <w:sz w:val="44"/>
          <w:szCs w:val="44"/>
          <w:lang w:val="en-US" w:eastAsia="zh-CN"/>
        </w:rPr>
        <w:t>慈溪</w:t>
      </w:r>
      <w:r>
        <w:rPr>
          <w:rFonts w:hint="eastAsia" w:ascii="华文仿宋" w:hAnsi="华文仿宋" w:eastAsia="华文仿宋" w:cs="华文仿宋"/>
          <w:b/>
          <w:bCs/>
          <w:sz w:val="44"/>
          <w:szCs w:val="44"/>
          <w:lang w:eastAsia="zh-CN"/>
        </w:rPr>
        <w:t>市</w:t>
      </w:r>
      <w:r>
        <w:rPr>
          <w:rFonts w:hint="eastAsia" w:ascii="华文仿宋" w:hAnsi="华文仿宋" w:eastAsia="华文仿宋" w:cs="华文仿宋"/>
          <w:b/>
          <w:bCs/>
          <w:sz w:val="44"/>
          <w:szCs w:val="44"/>
          <w:lang w:val="en-US" w:eastAsia="zh-CN"/>
        </w:rPr>
        <w:t>知识产权</w:t>
      </w:r>
      <w:r>
        <w:rPr>
          <w:rFonts w:hint="eastAsia" w:ascii="华文仿宋" w:hAnsi="华文仿宋" w:eastAsia="华文仿宋" w:cs="华文仿宋"/>
          <w:b/>
          <w:bCs/>
          <w:sz w:val="44"/>
          <w:szCs w:val="44"/>
        </w:rPr>
        <w:t>局专利侵权纠纷</w:t>
      </w:r>
      <w:r>
        <w:rPr>
          <w:rFonts w:hint="eastAsia" w:ascii="华文仿宋" w:hAnsi="华文仿宋" w:eastAsia="华文仿宋" w:cs="华文仿宋"/>
          <w:b/>
          <w:bCs/>
          <w:sz w:val="44"/>
          <w:szCs w:val="44"/>
          <w:lang w:val="en-US" w:eastAsia="zh-CN"/>
        </w:rPr>
        <w:t>案件</w:t>
      </w:r>
    </w:p>
    <w:p>
      <w:pPr>
        <w:rPr>
          <w:rFonts w:hint="eastAsia" w:ascii="华文仿宋" w:hAnsi="华文仿宋" w:eastAsia="华文仿宋" w:cs="华文仿宋"/>
          <w:b/>
          <w:bCs/>
          <w:sz w:val="44"/>
          <w:szCs w:val="44"/>
        </w:rPr>
      </w:pPr>
      <w:r>
        <w:rPr>
          <w:rFonts w:hint="eastAsia" w:ascii="华文仿宋" w:hAnsi="华文仿宋" w:eastAsia="华文仿宋" w:cs="华文仿宋"/>
          <w:b/>
          <w:bCs/>
          <w:sz w:val="44"/>
          <w:szCs w:val="44"/>
          <w:lang w:val="en-US" w:eastAsia="zh-CN"/>
        </w:rPr>
        <w:t xml:space="preserve">            行政裁决</w:t>
      </w:r>
      <w:r>
        <w:rPr>
          <w:rFonts w:hint="eastAsia" w:ascii="华文仿宋" w:hAnsi="华文仿宋" w:eastAsia="华文仿宋" w:cs="华文仿宋"/>
          <w:b/>
          <w:bCs/>
          <w:sz w:val="44"/>
          <w:szCs w:val="44"/>
        </w:rPr>
        <w:t>书</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                            案号:慈知案字[</w:t>
      </w:r>
      <w:r>
        <w:rPr>
          <w:rFonts w:hint="eastAsia" w:ascii="华文仿宋" w:hAnsi="华文仿宋" w:eastAsia="华文仿宋" w:cs="华文仿宋"/>
          <w:sz w:val="32"/>
          <w:szCs w:val="32"/>
        </w:rPr>
        <w:t>20</w:t>
      </w:r>
      <w:r>
        <w:rPr>
          <w:rFonts w:hint="eastAsia" w:ascii="华文仿宋" w:hAnsi="华文仿宋" w:eastAsia="华文仿宋" w:cs="华文仿宋"/>
          <w:sz w:val="32"/>
          <w:szCs w:val="32"/>
          <w:lang w:val="en-US" w:eastAsia="zh-CN"/>
        </w:rPr>
        <w:t>21]</w:t>
      </w:r>
      <w:r>
        <w:rPr>
          <w:rFonts w:hint="eastAsia" w:ascii="华文仿宋" w:hAnsi="华文仿宋" w:eastAsia="华文仿宋" w:cs="华文仿宋"/>
          <w:sz w:val="32"/>
          <w:szCs w:val="32"/>
        </w:rPr>
        <w:t xml:space="preserve"> </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号</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请求人</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苏州奥锐特电器有限公司</w:t>
      </w: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被请求人</w:t>
      </w:r>
      <w:r>
        <w:rPr>
          <w:rFonts w:hint="eastAsia" w:ascii="华文仿宋" w:hAnsi="华文仿宋" w:eastAsia="华文仿宋" w:cs="华文仿宋"/>
          <w:sz w:val="32"/>
          <w:szCs w:val="32"/>
          <w:lang w:eastAsia="zh-CN"/>
        </w:rPr>
        <w:t>：慈溪市周巷星源美发用品商行</w:t>
      </w:r>
    </w:p>
    <w:p>
      <w:pPr>
        <w:rPr>
          <w:rFonts w:hint="default" w:ascii="华文仿宋" w:hAnsi="华文仿宋" w:eastAsia="华文仿宋" w:cs="华文仿宋"/>
          <w:sz w:val="32"/>
          <w:szCs w:val="32"/>
          <w:lang w:val="en-US" w:eastAsia="zh-CN"/>
        </w:rPr>
      </w:pPr>
      <w:bookmarkStart w:id="0" w:name="_GoBack"/>
      <w:bookmarkEnd w:id="0"/>
    </w:p>
    <w:p>
      <w:pPr>
        <w:rPr>
          <w:rFonts w:hint="eastAsia" w:ascii="华文仿宋" w:hAnsi="华文仿宋" w:eastAsia="华文仿宋" w:cs="华文仿宋"/>
          <w:sz w:val="32"/>
          <w:szCs w:val="32"/>
          <w:lang w:val="en-US"/>
        </w:rPr>
      </w:pPr>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sz w:val="32"/>
          <w:szCs w:val="32"/>
          <w:lang w:eastAsia="zh-CN"/>
        </w:rPr>
        <w:t>我局</w:t>
      </w:r>
      <w:r>
        <w:rPr>
          <w:rFonts w:hint="eastAsia" w:ascii="华文仿宋" w:hAnsi="华文仿宋" w:eastAsia="华文仿宋" w:cs="华文仿宋"/>
          <w:sz w:val="32"/>
          <w:szCs w:val="32"/>
        </w:rPr>
        <w:t>于20</w:t>
      </w:r>
      <w:r>
        <w:rPr>
          <w:rFonts w:hint="eastAsia" w:ascii="华文仿宋" w:hAnsi="华文仿宋" w:eastAsia="华文仿宋" w:cs="华文仿宋"/>
          <w:sz w:val="32"/>
          <w:szCs w:val="32"/>
          <w:lang w:val="en-US" w:eastAsia="zh-CN"/>
        </w:rPr>
        <w:t>21</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25</w:t>
      </w:r>
      <w:r>
        <w:rPr>
          <w:rFonts w:hint="eastAsia" w:ascii="华文仿宋" w:hAnsi="华文仿宋" w:eastAsia="华文仿宋" w:cs="华文仿宋"/>
          <w:sz w:val="32"/>
          <w:szCs w:val="32"/>
        </w:rPr>
        <w:t>日受理了苏州奥锐特电器有限公司(下称“请求人”)请求处理</w:t>
      </w:r>
      <w:r>
        <w:rPr>
          <w:rFonts w:hint="eastAsia" w:ascii="华文仿宋" w:hAnsi="华文仿宋" w:eastAsia="华文仿宋" w:cs="华文仿宋"/>
          <w:sz w:val="32"/>
          <w:szCs w:val="32"/>
          <w:lang w:eastAsia="zh-CN"/>
        </w:rPr>
        <w:t>慈溪市周巷星源美发用品商行</w:t>
      </w:r>
      <w:r>
        <w:rPr>
          <w:rFonts w:hint="eastAsia" w:ascii="华文仿宋" w:hAnsi="华文仿宋" w:eastAsia="华文仿宋" w:cs="华文仿宋"/>
          <w:sz w:val="32"/>
          <w:szCs w:val="32"/>
        </w:rPr>
        <w:t>(下称“被请求人”)涉嫌侵犯专利号ZL201730095793.4</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名称为：“理发器”的外观设计专利权纠纷一案，案号为</w:t>
      </w:r>
      <w:r>
        <w:rPr>
          <w:rFonts w:hint="eastAsia" w:ascii="华文仿宋" w:hAnsi="华文仿宋" w:eastAsia="华文仿宋" w:cs="华文仿宋"/>
          <w:sz w:val="32"/>
          <w:szCs w:val="32"/>
          <w:lang w:val="en-US" w:eastAsia="zh-CN"/>
        </w:rPr>
        <w:t>慈知案字[2021] 1号</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我局向双方当事人送达了立案通知书及相关材料，并于2021年3月19日对该案进行了口头审理，现本案已审结。</w:t>
      </w:r>
    </w:p>
    <w:p>
      <w:pPr>
        <w:ind w:firstLine="640"/>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请求人诉称</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苏州奥锐特电器有限公司合法拥有专利ZL201730095793.4</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名称为“理发器”的外观设计专利权</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该专利的申请日为201</w:t>
      </w:r>
      <w:r>
        <w:rPr>
          <w:rFonts w:hint="eastAsia" w:ascii="华文仿宋" w:hAnsi="华文仿宋" w:eastAsia="华文仿宋" w:cs="华文仿宋"/>
          <w:sz w:val="32"/>
          <w:szCs w:val="32"/>
          <w:lang w:val="en-US" w:eastAsia="zh-CN"/>
        </w:rPr>
        <w:t>7</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月2</w:t>
      </w:r>
      <w:r>
        <w:rPr>
          <w:rFonts w:hint="eastAsia" w:ascii="华文仿宋" w:hAnsi="华文仿宋" w:eastAsia="华文仿宋" w:cs="华文仿宋"/>
          <w:sz w:val="32"/>
          <w:szCs w:val="32"/>
          <w:lang w:val="en-US" w:eastAsia="zh-CN"/>
        </w:rPr>
        <w:t>8</w:t>
      </w:r>
      <w:r>
        <w:rPr>
          <w:rFonts w:hint="eastAsia" w:ascii="华文仿宋" w:hAnsi="华文仿宋" w:eastAsia="华文仿宋" w:cs="华文仿宋"/>
          <w:sz w:val="32"/>
          <w:szCs w:val="32"/>
        </w:rPr>
        <w:t>日</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授权公告日为20</w:t>
      </w:r>
      <w:r>
        <w:rPr>
          <w:rFonts w:hint="eastAsia" w:ascii="华文仿宋" w:hAnsi="华文仿宋" w:eastAsia="华文仿宋" w:cs="华文仿宋"/>
          <w:sz w:val="32"/>
          <w:szCs w:val="32"/>
          <w:lang w:val="en-US" w:eastAsia="zh-CN"/>
        </w:rPr>
        <w:t>17</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9</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8</w:t>
      </w:r>
      <w:r>
        <w:rPr>
          <w:rFonts w:hint="eastAsia" w:ascii="华文仿宋" w:hAnsi="华文仿宋" w:eastAsia="华文仿宋" w:cs="华文仿宋"/>
          <w:sz w:val="32"/>
          <w:szCs w:val="32"/>
        </w:rPr>
        <w:t>日</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专利至今有效。请求人</w:t>
      </w:r>
      <w:r>
        <w:rPr>
          <w:rFonts w:hint="eastAsia" w:ascii="华文仿宋" w:hAnsi="华文仿宋" w:eastAsia="华文仿宋" w:cs="华文仿宋"/>
          <w:sz w:val="32"/>
          <w:szCs w:val="32"/>
          <w:lang w:val="en-US" w:eastAsia="zh-CN"/>
        </w:rPr>
        <w:t>发现</w:t>
      </w:r>
      <w:r>
        <w:rPr>
          <w:rFonts w:hint="eastAsia" w:ascii="华文仿宋" w:hAnsi="华文仿宋" w:eastAsia="华文仿宋" w:cs="华文仿宋"/>
          <w:sz w:val="32"/>
          <w:szCs w:val="32"/>
        </w:rPr>
        <w:t>在</w:t>
      </w:r>
      <w:r>
        <w:rPr>
          <w:rFonts w:hint="eastAsia" w:ascii="华文仿宋" w:hAnsi="华文仿宋" w:eastAsia="华文仿宋" w:cs="华文仿宋"/>
          <w:sz w:val="32"/>
          <w:szCs w:val="32"/>
          <w:lang w:val="en-US" w:eastAsia="zh-CN"/>
        </w:rPr>
        <w:t>宁波市海曙区轻纺城东饮街4号“彩虹美容美发用品”销售“朗瑞”牌理发器，经“彩虹美容美发用品”告知，该款理发器的生产厂商地址为慈溪市周巷镇大通东路123号，慈溪市周巷星源美发用品商行的营业执照地址。经请求人比对分析，该理发器侵犯了请求人的</w:t>
      </w:r>
      <w:r>
        <w:rPr>
          <w:rFonts w:hint="eastAsia" w:ascii="华文仿宋" w:hAnsi="华文仿宋" w:eastAsia="华文仿宋" w:cs="华文仿宋"/>
          <w:color w:val="auto"/>
          <w:sz w:val="32"/>
          <w:szCs w:val="32"/>
          <w:lang w:val="en-US" w:eastAsia="zh-CN"/>
        </w:rPr>
        <w:t>专利权</w:t>
      </w:r>
      <w:r>
        <w:rPr>
          <w:rFonts w:hint="eastAsia" w:ascii="华文仿宋" w:hAnsi="华文仿宋" w:eastAsia="华文仿宋" w:cs="华文仿宋"/>
          <w:sz w:val="32"/>
          <w:szCs w:val="32"/>
          <w:lang w:val="en-US" w:eastAsia="zh-CN"/>
        </w:rPr>
        <w:t>。</w:t>
      </w:r>
      <w:r>
        <w:rPr>
          <w:rFonts w:hint="eastAsia" w:ascii="华文仿宋" w:hAnsi="华文仿宋" w:eastAsia="华文仿宋" w:cs="华文仿宋"/>
          <w:sz w:val="32"/>
          <w:szCs w:val="32"/>
        </w:rPr>
        <w:t>请求人向</w:t>
      </w:r>
      <w:r>
        <w:rPr>
          <w:rFonts w:hint="eastAsia" w:ascii="华文仿宋" w:hAnsi="华文仿宋" w:eastAsia="华文仿宋" w:cs="华文仿宋"/>
          <w:sz w:val="32"/>
          <w:szCs w:val="32"/>
          <w:lang w:eastAsia="zh-CN"/>
        </w:rPr>
        <w:t>我局</w:t>
      </w:r>
      <w:r>
        <w:rPr>
          <w:rFonts w:hint="eastAsia" w:ascii="华文仿宋" w:hAnsi="华文仿宋" w:eastAsia="华文仿宋" w:cs="华文仿宋"/>
          <w:sz w:val="32"/>
          <w:szCs w:val="32"/>
        </w:rPr>
        <w:t>提出如下请求</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责</w:t>
      </w:r>
      <w:r>
        <w:rPr>
          <w:rFonts w:hint="eastAsia" w:ascii="华文仿宋" w:hAnsi="华文仿宋" w:eastAsia="华文仿宋" w:cs="华文仿宋"/>
          <w:sz w:val="32"/>
          <w:szCs w:val="32"/>
        </w:rPr>
        <w:t>令被请求人立即停止</w:t>
      </w:r>
      <w:r>
        <w:rPr>
          <w:rFonts w:hint="eastAsia" w:ascii="华文仿宋" w:hAnsi="华文仿宋" w:eastAsia="华文仿宋" w:cs="华文仿宋"/>
          <w:sz w:val="32"/>
          <w:szCs w:val="32"/>
          <w:lang w:val="en-US" w:eastAsia="zh-CN"/>
        </w:rPr>
        <w:t>生产、销售侵权产品，销毁库存产品及生产模具，并按法律规定赔偿举报人的损失。</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被请求人辩称，慈溪市周巷星源美发用品商行并未生产制造被控侵权产品，被控侵权产品是由被请求人从慈溪市外采购而来；被控侵权产品没有落入涉案外观设计专利的保护范围，被请求人不构成侵权。</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color w:val="auto"/>
          <w:sz w:val="32"/>
          <w:szCs w:val="32"/>
          <w:lang w:val="en-US" w:eastAsia="zh-CN"/>
        </w:rPr>
        <w:t>双方当</w:t>
      </w:r>
      <w:r>
        <w:rPr>
          <w:rFonts w:hint="eastAsia" w:ascii="华文仿宋" w:hAnsi="华文仿宋" w:eastAsia="华文仿宋" w:cs="华文仿宋"/>
          <w:sz w:val="32"/>
          <w:szCs w:val="32"/>
          <w:lang w:val="en-US" w:eastAsia="zh-CN"/>
        </w:rPr>
        <w:t>事人围绕请求事项依法提交了证据，请求人提交了以下证据：1、涉案外观专利证书；2、（2020）浙甬鄞证民字第4677号公证书；3、涉案产品对比图片；4、涉案产品。被请求人未提供证据。我局组织当事人进行了举证、质证。被请求人对请求人提供的证据的真实性、合法性和关联性无异议。根据已查明的事实，结合请求方与被请求方诉请和口头审理内容，我局认定本案的争议焦点为：被控侵权产品是否落入涉案专利的保护范围。</w:t>
      </w:r>
    </w:p>
    <w:p>
      <w:pPr>
        <w:ind w:firstLine="640"/>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经涉案专利权与被控侵权产品比对，整体观察、综合判断，我局认定：涉案专利与被控侵权产品相比，二者均包括刀头、机身、档位键、开关键、充电口，机身头部略大有弯曲整体呈圆柱形形状。比较涉案专利与被控侵权产品：两者机身整体的比例基本相同；不同点主要在于机身正面档位键、开关键和尾部充电口不同。涉案专利档位键呈圆角长方形，中间含有一个突出的小圆点；被控侵权产品档位键同样呈圆角长方形，只是形状略瘦长，中间含有一个突出的小长方形。涉案专利开关键呈圆形，被控侵权产品呈扁圆形；被控侵权产品正面开关键下方印有“朗瑞”商标图案以及在尾部充电口含有一个USB接口，涉案专利未含有USB接口。涉案专利与被控侵权产品的不同点属于</w:t>
      </w:r>
      <w:r>
        <w:rPr>
          <w:rFonts w:hint="eastAsia" w:ascii="华文仿宋" w:hAnsi="华文仿宋" w:eastAsia="华文仿宋" w:cs="华文仿宋"/>
          <w:sz w:val="32"/>
          <w:szCs w:val="32"/>
        </w:rPr>
        <w:t>局部细微</w:t>
      </w:r>
      <w:r>
        <w:rPr>
          <w:rFonts w:hint="eastAsia" w:ascii="华文仿宋" w:hAnsi="华文仿宋" w:eastAsia="华文仿宋" w:cs="华文仿宋"/>
          <w:sz w:val="32"/>
          <w:szCs w:val="32"/>
          <w:lang w:val="en-US" w:eastAsia="zh-CN"/>
        </w:rPr>
        <w:t>差</w:t>
      </w:r>
      <w:r>
        <w:rPr>
          <w:rFonts w:hint="eastAsia" w:ascii="华文仿宋" w:hAnsi="华文仿宋" w:eastAsia="华文仿宋" w:cs="华文仿宋"/>
          <w:sz w:val="32"/>
          <w:szCs w:val="32"/>
        </w:rPr>
        <w:t>别</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对于</w:t>
      </w:r>
      <w:r>
        <w:rPr>
          <w:rFonts w:hint="eastAsia" w:ascii="华文仿宋" w:hAnsi="华文仿宋" w:eastAsia="华文仿宋" w:cs="华文仿宋"/>
          <w:sz w:val="32"/>
          <w:szCs w:val="32"/>
          <w:lang w:val="en-US" w:eastAsia="zh-CN"/>
        </w:rPr>
        <w:t>普通</w:t>
      </w:r>
      <w:r>
        <w:rPr>
          <w:rFonts w:hint="eastAsia" w:ascii="华文仿宋" w:hAnsi="华文仿宋" w:eastAsia="华文仿宋" w:cs="华文仿宋"/>
          <w:sz w:val="32"/>
          <w:szCs w:val="32"/>
        </w:rPr>
        <w:t>消费者来说</w:t>
      </w:r>
      <w:r>
        <w:rPr>
          <w:rFonts w:hint="eastAsia" w:ascii="华文仿宋" w:hAnsi="华文仿宋" w:eastAsia="华文仿宋" w:cs="华文仿宋"/>
          <w:sz w:val="32"/>
          <w:szCs w:val="32"/>
          <w:lang w:val="en-US" w:eastAsia="zh-CN"/>
        </w:rPr>
        <w:t>此</w:t>
      </w:r>
      <w:r>
        <w:rPr>
          <w:rFonts w:hint="eastAsia" w:ascii="华文仿宋" w:hAnsi="华文仿宋" w:eastAsia="华文仿宋" w:cs="华文仿宋"/>
          <w:sz w:val="32"/>
          <w:szCs w:val="32"/>
        </w:rPr>
        <w:t>细微差别不会对外观设计的整体视觉效果产生显著影响</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被控侵权产品与本案专利在整体视觉效果上无实质性差异。</w:t>
      </w:r>
      <w:r>
        <w:rPr>
          <w:rFonts w:hint="eastAsia" w:ascii="华文仿宋" w:hAnsi="华文仿宋" w:eastAsia="华文仿宋" w:cs="华文仿宋"/>
          <w:sz w:val="32"/>
          <w:szCs w:val="32"/>
          <w:lang w:val="en-US" w:eastAsia="zh-CN"/>
        </w:rPr>
        <w:t>被控侵权产品</w:t>
      </w:r>
      <w:r>
        <w:rPr>
          <w:rFonts w:hint="eastAsia" w:ascii="华文仿宋" w:hAnsi="华文仿宋" w:eastAsia="华文仿宋" w:cs="华文仿宋"/>
          <w:sz w:val="32"/>
          <w:szCs w:val="32"/>
        </w:rPr>
        <w:t>落入本案专利的保护范围。</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综上，根据《中华人民共和国专利法》第十一条第二款、第六十条和《</w:t>
      </w:r>
      <w:r>
        <w:rPr>
          <w:rFonts w:hint="eastAsia" w:ascii="华文仿宋" w:hAnsi="华文仿宋" w:eastAsia="华文仿宋" w:cs="华文仿宋"/>
          <w:sz w:val="32"/>
          <w:szCs w:val="32"/>
          <w:lang w:val="en-US" w:eastAsia="zh-CN"/>
        </w:rPr>
        <w:t>专利行政执法办法</w:t>
      </w:r>
      <w:r>
        <w:rPr>
          <w:rFonts w:hint="eastAsia" w:ascii="华文仿宋" w:hAnsi="华文仿宋" w:eastAsia="华文仿宋" w:cs="华文仿宋"/>
          <w:sz w:val="32"/>
          <w:szCs w:val="32"/>
        </w:rPr>
        <w:t>》第</w:t>
      </w:r>
      <w:r>
        <w:rPr>
          <w:rFonts w:hint="eastAsia" w:ascii="华文仿宋" w:hAnsi="华文仿宋" w:eastAsia="华文仿宋" w:cs="华文仿宋"/>
          <w:sz w:val="32"/>
          <w:szCs w:val="32"/>
          <w:lang w:val="en-US" w:eastAsia="zh-CN"/>
        </w:rPr>
        <w:t>四十三</w:t>
      </w:r>
      <w:r>
        <w:rPr>
          <w:rFonts w:hint="eastAsia" w:ascii="华文仿宋" w:hAnsi="华文仿宋" w:eastAsia="华文仿宋" w:cs="华文仿宋"/>
          <w:sz w:val="32"/>
          <w:szCs w:val="32"/>
        </w:rPr>
        <w:t>条的规定</w:t>
      </w:r>
      <w:r>
        <w:rPr>
          <w:rFonts w:hint="eastAsia" w:ascii="华文仿宋" w:hAnsi="华文仿宋" w:eastAsia="华文仿宋" w:cs="华文仿宋"/>
          <w:sz w:val="32"/>
          <w:szCs w:val="32"/>
          <w:lang w:eastAsia="zh-CN"/>
        </w:rPr>
        <w:t>，我局</w:t>
      </w:r>
      <w:r>
        <w:rPr>
          <w:rFonts w:hint="eastAsia" w:ascii="华文仿宋" w:hAnsi="华文仿宋" w:eastAsia="华文仿宋" w:cs="华文仿宋"/>
          <w:sz w:val="32"/>
          <w:szCs w:val="32"/>
          <w:lang w:val="en-US" w:eastAsia="zh-CN"/>
        </w:rPr>
        <w:t>裁决如下：</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sz w:val="32"/>
          <w:szCs w:val="32"/>
        </w:rPr>
        <w:t>被请求人</w:t>
      </w:r>
      <w:r>
        <w:rPr>
          <w:rFonts w:hint="eastAsia" w:ascii="华文仿宋" w:hAnsi="华文仿宋" w:eastAsia="华文仿宋" w:cs="华文仿宋"/>
          <w:sz w:val="32"/>
          <w:szCs w:val="32"/>
          <w:lang w:val="en-US" w:eastAsia="zh-CN"/>
        </w:rPr>
        <w:t>销售“朗瑞”理发器</w:t>
      </w:r>
      <w:r>
        <w:rPr>
          <w:rFonts w:hint="eastAsia" w:ascii="华文仿宋" w:hAnsi="华文仿宋" w:eastAsia="华文仿宋" w:cs="华文仿宋"/>
          <w:sz w:val="32"/>
          <w:szCs w:val="32"/>
        </w:rPr>
        <w:t>的行为，侵犯了专利号为ZL201730095793.4</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名称为</w:t>
      </w:r>
      <w:r>
        <w:rPr>
          <w:rFonts w:hint="eastAsia" w:ascii="华文仿宋" w:hAnsi="华文仿宋" w:eastAsia="华文仿宋" w:cs="华文仿宋"/>
          <w:sz w:val="32"/>
          <w:szCs w:val="32"/>
          <w:lang w:val="en-US" w:eastAsia="zh-CN"/>
        </w:rPr>
        <w:t>“理发器”</w:t>
      </w:r>
      <w:r>
        <w:rPr>
          <w:rFonts w:hint="eastAsia" w:ascii="华文仿宋" w:hAnsi="华文仿宋" w:eastAsia="华文仿宋" w:cs="华文仿宋"/>
          <w:sz w:val="32"/>
          <w:szCs w:val="32"/>
        </w:rPr>
        <w:t>的外观设计专利权。责令被请求人</w:t>
      </w:r>
      <w:r>
        <w:rPr>
          <w:rFonts w:hint="eastAsia" w:ascii="华文仿宋" w:hAnsi="华文仿宋" w:eastAsia="华文仿宋" w:cs="华文仿宋"/>
          <w:sz w:val="32"/>
          <w:szCs w:val="32"/>
          <w:lang w:eastAsia="zh-CN"/>
        </w:rPr>
        <w:t>慈溪市周巷星源美发用品商行</w:t>
      </w:r>
      <w:r>
        <w:rPr>
          <w:rFonts w:hint="eastAsia" w:ascii="华文仿宋" w:hAnsi="华文仿宋" w:eastAsia="华文仿宋" w:cs="华文仿宋"/>
          <w:sz w:val="32"/>
          <w:szCs w:val="32"/>
        </w:rPr>
        <w:t>立即停止</w:t>
      </w:r>
      <w:r>
        <w:rPr>
          <w:rFonts w:hint="eastAsia" w:ascii="华文仿宋" w:hAnsi="华文仿宋" w:eastAsia="华文仿宋" w:cs="华文仿宋"/>
          <w:sz w:val="32"/>
          <w:szCs w:val="32"/>
          <w:lang w:val="en-US" w:eastAsia="zh-CN"/>
        </w:rPr>
        <w:t>其销售行为</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不得销售、许诺销售尚未售出的侵权产品或者以任何其他形式将其投放市场。</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sz w:val="32"/>
          <w:szCs w:val="32"/>
        </w:rPr>
        <w:t>双方当事人对本处理决定不服的，可根据《中华人民共和国专利法》第六十条的规定，自收到本处理决定书之日起15日内，向浙江省宁波市中级人民法院起诉。期满不起诉又不履行行政裁决的，本局将申请人民法院强制执行。</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慈溪</w:t>
      </w:r>
      <w:r>
        <w:rPr>
          <w:rFonts w:hint="eastAsia" w:ascii="华文仿宋" w:hAnsi="华文仿宋" w:eastAsia="华文仿宋" w:cs="华文仿宋"/>
          <w:sz w:val="32"/>
          <w:szCs w:val="32"/>
        </w:rPr>
        <w:t>市知识产权局</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地址：浙江省</w:t>
      </w:r>
      <w:r>
        <w:rPr>
          <w:rFonts w:hint="eastAsia" w:ascii="华文仿宋" w:hAnsi="华文仿宋" w:eastAsia="华文仿宋" w:cs="华文仿宋"/>
          <w:sz w:val="32"/>
          <w:szCs w:val="32"/>
          <w:lang w:val="en-US" w:eastAsia="zh-CN"/>
        </w:rPr>
        <w:t>慈溪市古塘街道开发大道238</w:t>
      </w:r>
      <w:r>
        <w:rPr>
          <w:rFonts w:hint="eastAsia" w:ascii="华文仿宋" w:hAnsi="华文仿宋" w:eastAsia="华文仿宋" w:cs="华文仿宋"/>
          <w:sz w:val="32"/>
          <w:szCs w:val="32"/>
        </w:rPr>
        <w:t>号</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邮编：315</w:t>
      </w: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00</w:t>
      </w:r>
    </w:p>
    <w:p>
      <w:pPr>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联系电话：0574-</w:t>
      </w:r>
      <w:r>
        <w:rPr>
          <w:rFonts w:hint="eastAsia" w:ascii="华文仿宋" w:hAnsi="华文仿宋" w:eastAsia="华文仿宋" w:cs="华文仿宋"/>
          <w:sz w:val="32"/>
          <w:szCs w:val="32"/>
          <w:lang w:val="en-US" w:eastAsia="zh-CN"/>
        </w:rPr>
        <w:t>63026041</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                           合议组长：吴华荣</w:t>
      </w:r>
    </w:p>
    <w:p>
      <w:pPr>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 xml:space="preserve">                           审 理 员：</w:t>
      </w:r>
      <w:r>
        <w:rPr>
          <w:rFonts w:hint="eastAsia" w:ascii="华文仿宋" w:hAnsi="华文仿宋" w:eastAsia="华文仿宋" w:cs="华文仿宋"/>
          <w:sz w:val="32"/>
          <w:szCs w:val="32"/>
          <w:lang w:val="en-US" w:eastAsia="zh-CN"/>
        </w:rPr>
        <w:t>胡剑朔</w:t>
      </w: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 xml:space="preserve">                           审 理 员：</w:t>
      </w:r>
      <w:r>
        <w:rPr>
          <w:rFonts w:hint="eastAsia" w:ascii="华文仿宋" w:hAnsi="华文仿宋" w:eastAsia="华文仿宋" w:cs="华文仿宋"/>
          <w:sz w:val="32"/>
          <w:szCs w:val="32"/>
          <w:lang w:val="en-US" w:eastAsia="zh-CN"/>
        </w:rPr>
        <w:t>孙德生</w:t>
      </w:r>
    </w:p>
    <w:p>
      <w:pPr>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sz w:val="32"/>
          <w:szCs w:val="32"/>
        </w:rPr>
        <w:t>书记员：</w:t>
      </w:r>
      <w:r>
        <w:rPr>
          <w:rFonts w:hint="eastAsia" w:ascii="华文仿宋" w:hAnsi="华文仿宋" w:eastAsia="华文仿宋" w:cs="华文仿宋"/>
          <w:sz w:val="32"/>
          <w:szCs w:val="32"/>
          <w:lang w:val="en-US" w:eastAsia="zh-CN"/>
        </w:rPr>
        <w:t>郑仲欣</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                           </w:t>
      </w:r>
      <w:r>
        <w:rPr>
          <w:rFonts w:hint="eastAsia" w:ascii="华文仿宋" w:hAnsi="华文仿宋" w:eastAsia="华文仿宋" w:cs="华文仿宋"/>
          <w:sz w:val="32"/>
          <w:szCs w:val="32"/>
          <w:lang w:val="en-US" w:eastAsia="zh-CN"/>
        </w:rPr>
        <w:t>慈溪市</w:t>
      </w:r>
      <w:r>
        <w:rPr>
          <w:rFonts w:hint="eastAsia" w:ascii="华文仿宋" w:hAnsi="华文仿宋" w:eastAsia="华文仿宋" w:cs="华文仿宋"/>
          <w:sz w:val="32"/>
          <w:szCs w:val="32"/>
        </w:rPr>
        <w:t>知识产权局（盖章）</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                            202</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4</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7</w:t>
      </w:r>
      <w:r>
        <w:rPr>
          <w:rFonts w:hint="eastAsia" w:ascii="华文仿宋" w:hAnsi="华文仿宋" w:eastAsia="华文仿宋" w:cs="华文仿宋"/>
          <w:sz w:val="32"/>
          <w:szCs w:val="32"/>
        </w:rPr>
        <w:t>日</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附法律法规：                                    </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中华人民共和国专利法第十一条：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发明和实用新型专利权被授予后，除本法另有规定的以外，任何单位或者个人未经专利权人许可，都不得实施其专利，即不得为生产经营目的制造、使用、许诺销售、销售、进口其专利产品，或者使用其专利方法以及使用、许诺销售、销售、进口依照该专利方法直接获得的产品。 外观设计专利权被授予后，任何单位或者个人未经专利权人许可，都不得实施其专利，即不得为生产经营目的制造、许诺销售、销售、进口其外观设计专利产品。</w:t>
      </w: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中华人民共和国专利法第五十九条</w:t>
      </w:r>
      <w:r>
        <w:rPr>
          <w:rFonts w:hint="eastAsia" w:ascii="华文仿宋" w:hAnsi="华文仿宋" w:eastAsia="华文仿宋" w:cs="华文仿宋"/>
          <w:sz w:val="32"/>
          <w:szCs w:val="32"/>
          <w:lang w:eastAsia="zh-CN"/>
        </w:rPr>
        <w:t>：</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发明或者实用新型专利权的保护范围以其权利要求的内容为准，说明书及附图可以用于解释权利要求的内容。 外观设计专利权的保护范围以表示在图片或者照片中的该产品的外观设计为准，简要说明可以用于解释图片或者照片所表示的该产品的外观设计。</w:t>
      </w: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中华人民共和国专利法第六十条</w:t>
      </w:r>
      <w:r>
        <w:rPr>
          <w:rFonts w:hint="eastAsia" w:ascii="华文仿宋" w:hAnsi="华文仿宋" w:eastAsia="华文仿宋" w:cs="华文仿宋"/>
          <w:sz w:val="32"/>
          <w:szCs w:val="32"/>
          <w:lang w:eastAsia="zh-CN"/>
        </w:rPr>
        <w:t>：</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未经专利权人许可，实施其专利，即侵犯其专利权，引起纠纷的，由当事人协商解决；不愿协商或者协商不成的，专利权人或者利害关系人可以向人民法院起诉，也可以请求管理专利工作的部门处理。管理专利工作的部门处理时，认定侵权行为成立的，可以责令侵权人立即停止侵权行为，当事人不服的，可以自收到处理通知之日起十五日内依照《中华人民共和国行政诉讼法》向人民法院起诉；侵权人期满不起诉又不停止侵权行为的，管理专利工作的部门可以申请人民法院强制执行。进行处理的管理专利工作的部门应当事人的请求，可以就侵犯专利权的赔偿数额进行调解；调解不成的，当事人可以依照《中华人民共和国民事诉讼法》向人民法院起诉。</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国家知识产权局专利执法办法第四十三条</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 xml:space="preserve"> </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管理专利工作的部门认定专利侵权行为成立，作出处理决定，责令侵权人立即停止侵权行为的，应当采取下列制止侵权行为的措施：</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一）侵权人制造专利侵权产品的，责令其立即停止制造行为，销毁制造侵权产品的专用设备、模具，并且不得销售、使用尚未售出的侵权产品或者以任何其他形式将其投放市场；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二）侵权人未经专利权人许可使用专利方法的，责令侵权人立即停止使用行为，销毁实施专利方法的专用设备、模具，并且不得销售、使用尚未售出的依照专利方法所直接获得的侵权产品或者以任何其他形式将其投放市场；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三）侵权人销售专利侵权产品或者依照专利方法直接获得的侵权产品的，责令其立即停止销售行为，并且不得使用尚未售出的侵权产品或者以任何其他形式将其投放市场；尚未售出的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（四）侵权人许诺销售专利侵权产品或者依照专利方法直接获得的侵权产品的，责令其立即停止许诺销售行为，消除影响，并且不得进行任何实际销售行为；</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五）侵权人进口专利侵权产品或者依照专利方法直接获得的侵权产品的，责令侵权人立即停止进口行为；侵权产品已经入境的，不得销售、使用该侵权产品或者以任何其他形式将其投放市场；侵权产品难以保存的，责令侵权人销毁该产品；侵权产品尚未入境的，可以将处理决定通知有关海关；</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（六）责令侵权的参展方采取从展会上撤出侵权展品、销毁或者封存相应的宣传材料、更换或者遮盖相应的展板等撤展措施；</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（七）停止侵权行为的其他必要措施。</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管理专利工作的部门认定电子商务平台上的专利侵权行为成立，作出处理决定的，应当通知电子商务平台提供者及时对专利侵权产品或者依照专利方法直接获得的侵权产品相关网页采取删除、屏蔽或者断开链接等措施。</w:t>
      </w:r>
    </w:p>
    <w:p>
      <w:pPr>
        <w:rPr>
          <w:rFonts w:hint="eastAsia" w:ascii="华文仿宋" w:hAnsi="华文仿宋" w:eastAsia="华文仿宋" w:cs="华文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095FA4"/>
    <w:rsid w:val="075F26C1"/>
    <w:rsid w:val="07F767BA"/>
    <w:rsid w:val="085E3C58"/>
    <w:rsid w:val="09DE131B"/>
    <w:rsid w:val="0B790B20"/>
    <w:rsid w:val="0D0C6095"/>
    <w:rsid w:val="1184698E"/>
    <w:rsid w:val="11AF0604"/>
    <w:rsid w:val="158E7297"/>
    <w:rsid w:val="1F355035"/>
    <w:rsid w:val="20CB38B4"/>
    <w:rsid w:val="230040D2"/>
    <w:rsid w:val="23DD71F6"/>
    <w:rsid w:val="2475441E"/>
    <w:rsid w:val="2490426B"/>
    <w:rsid w:val="274D292F"/>
    <w:rsid w:val="2D4F6685"/>
    <w:rsid w:val="2D5F49EC"/>
    <w:rsid w:val="2E841CA9"/>
    <w:rsid w:val="31E04532"/>
    <w:rsid w:val="32B50D76"/>
    <w:rsid w:val="333A4686"/>
    <w:rsid w:val="37CE346A"/>
    <w:rsid w:val="38F01221"/>
    <w:rsid w:val="3BA77312"/>
    <w:rsid w:val="3BFD6910"/>
    <w:rsid w:val="3CE32B80"/>
    <w:rsid w:val="3E441C2E"/>
    <w:rsid w:val="3EB30040"/>
    <w:rsid w:val="3EC77406"/>
    <w:rsid w:val="40127181"/>
    <w:rsid w:val="45B00309"/>
    <w:rsid w:val="47BD7906"/>
    <w:rsid w:val="480B558D"/>
    <w:rsid w:val="4B8A1606"/>
    <w:rsid w:val="4BD571FE"/>
    <w:rsid w:val="4C775F54"/>
    <w:rsid w:val="4F7B604C"/>
    <w:rsid w:val="4F9B202B"/>
    <w:rsid w:val="569C753A"/>
    <w:rsid w:val="586B579E"/>
    <w:rsid w:val="5B510165"/>
    <w:rsid w:val="5D1A30AE"/>
    <w:rsid w:val="5DE945D6"/>
    <w:rsid w:val="5F1A17CC"/>
    <w:rsid w:val="614917BE"/>
    <w:rsid w:val="62224762"/>
    <w:rsid w:val="6264142D"/>
    <w:rsid w:val="64AA5A3C"/>
    <w:rsid w:val="65FA03A9"/>
    <w:rsid w:val="69AB2A58"/>
    <w:rsid w:val="6A59735A"/>
    <w:rsid w:val="6A966C8A"/>
    <w:rsid w:val="6BBA1BDA"/>
    <w:rsid w:val="6C0D30A2"/>
    <w:rsid w:val="6E5204D7"/>
    <w:rsid w:val="70EB542C"/>
    <w:rsid w:val="722A4D76"/>
    <w:rsid w:val="74390F52"/>
    <w:rsid w:val="74634C84"/>
    <w:rsid w:val="75A52D36"/>
    <w:rsid w:val="773D4F4E"/>
    <w:rsid w:val="775056CC"/>
    <w:rsid w:val="7A28166F"/>
    <w:rsid w:val="7C535A1B"/>
    <w:rsid w:val="7CCB61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73</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whr.NBKJJ-WHR</dc:creator>
  <cp:lastModifiedBy>幻云秋风</cp:lastModifiedBy>
  <dcterms:modified xsi:type="dcterms:W3CDTF">2023-08-31T08:26:42Z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91DD4FFF29674C5994A4EC78E4EFD26D</vt:lpwstr>
  </property>
</Properties>
</file>