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华文仿宋" w:hAnsi="华文仿宋" w:eastAsia="华文仿宋" w:cs="华文仿宋"/>
          <w:b/>
          <w:bCs/>
          <w:color w:val="auto"/>
          <w:sz w:val="44"/>
          <w:szCs w:val="44"/>
          <w:lang w:val="en-US" w:eastAsia="zh-CN"/>
        </w:rPr>
      </w:pPr>
      <w:r>
        <w:rPr>
          <w:rFonts w:hint="eastAsia" w:ascii="华文仿宋" w:hAnsi="华文仿宋" w:eastAsia="华文仿宋" w:cs="华文仿宋"/>
          <w:b/>
          <w:bCs/>
          <w:color w:val="auto"/>
          <w:sz w:val="44"/>
          <w:szCs w:val="44"/>
          <w:lang w:val="en-US" w:eastAsia="zh-CN"/>
        </w:rPr>
        <w:t>慈溪</w:t>
      </w:r>
      <w:r>
        <w:rPr>
          <w:rFonts w:hint="eastAsia" w:ascii="华文仿宋" w:hAnsi="华文仿宋" w:eastAsia="华文仿宋" w:cs="华文仿宋"/>
          <w:b/>
          <w:bCs/>
          <w:color w:val="auto"/>
          <w:sz w:val="44"/>
          <w:szCs w:val="44"/>
          <w:lang w:eastAsia="zh-CN"/>
        </w:rPr>
        <w:t>市</w:t>
      </w:r>
      <w:r>
        <w:rPr>
          <w:rFonts w:hint="eastAsia" w:ascii="华文仿宋" w:hAnsi="华文仿宋" w:eastAsia="华文仿宋" w:cs="华文仿宋"/>
          <w:b/>
          <w:bCs/>
          <w:color w:val="auto"/>
          <w:sz w:val="44"/>
          <w:szCs w:val="44"/>
          <w:lang w:val="en-US" w:eastAsia="zh-CN"/>
        </w:rPr>
        <w:t>知识产权</w:t>
      </w:r>
      <w:r>
        <w:rPr>
          <w:rFonts w:hint="eastAsia" w:ascii="华文仿宋" w:hAnsi="华文仿宋" w:eastAsia="华文仿宋" w:cs="华文仿宋"/>
          <w:b/>
          <w:bCs/>
          <w:color w:val="auto"/>
          <w:sz w:val="44"/>
          <w:szCs w:val="44"/>
        </w:rPr>
        <w:t>局专利侵权纠纷</w:t>
      </w:r>
      <w:r>
        <w:rPr>
          <w:rFonts w:hint="eastAsia" w:ascii="华文仿宋" w:hAnsi="华文仿宋" w:eastAsia="华文仿宋" w:cs="华文仿宋"/>
          <w:b/>
          <w:bCs/>
          <w:color w:val="auto"/>
          <w:sz w:val="44"/>
          <w:szCs w:val="44"/>
          <w:lang w:val="en-US" w:eastAsia="zh-CN"/>
        </w:rPr>
        <w:t>案件</w:t>
      </w:r>
    </w:p>
    <w:p>
      <w:pPr>
        <w:jc w:val="center"/>
        <w:rPr>
          <w:rFonts w:hint="eastAsia" w:ascii="华文仿宋" w:hAnsi="华文仿宋" w:eastAsia="华文仿宋" w:cs="华文仿宋"/>
          <w:b/>
          <w:bCs/>
          <w:color w:val="auto"/>
          <w:sz w:val="44"/>
          <w:szCs w:val="44"/>
        </w:rPr>
      </w:pPr>
      <w:r>
        <w:rPr>
          <w:rFonts w:hint="eastAsia" w:ascii="华文仿宋" w:hAnsi="华文仿宋" w:eastAsia="华文仿宋" w:cs="华文仿宋"/>
          <w:b/>
          <w:bCs/>
          <w:color w:val="auto"/>
          <w:sz w:val="44"/>
          <w:szCs w:val="44"/>
          <w:lang w:val="en-US" w:eastAsia="zh-CN"/>
        </w:rPr>
        <w:t>行政裁决</w:t>
      </w:r>
      <w:r>
        <w:rPr>
          <w:rFonts w:hint="eastAsia" w:ascii="华文仿宋" w:hAnsi="华文仿宋" w:eastAsia="华文仿宋" w:cs="华文仿宋"/>
          <w:b/>
          <w:bCs/>
          <w:color w:val="auto"/>
          <w:sz w:val="44"/>
          <w:szCs w:val="44"/>
        </w:rPr>
        <w:t>书</w:t>
      </w:r>
    </w:p>
    <w:p>
      <w:pPr>
        <w:jc w:val="right"/>
        <w:rPr>
          <w:rFonts w:hint="eastAsia" w:ascii="华文仿宋" w:hAnsi="华文仿宋" w:eastAsia="华文仿宋" w:cs="华文仿宋"/>
          <w:color w:val="auto"/>
          <w:sz w:val="32"/>
          <w:szCs w:val="32"/>
        </w:rPr>
      </w:pPr>
      <w:r>
        <w:rPr>
          <w:rFonts w:hint="eastAsia" w:ascii="华文仿宋" w:hAnsi="华文仿宋" w:eastAsia="华文仿宋" w:cs="华文仿宋"/>
          <w:color w:val="auto"/>
          <w:sz w:val="32"/>
          <w:szCs w:val="32"/>
          <w:lang w:val="en-US" w:eastAsia="zh-CN"/>
        </w:rPr>
        <w:t>案号:甬慈知法裁字〔2024〕21号</w:t>
      </w:r>
    </w:p>
    <w:p>
      <w:pPr>
        <w:rPr>
          <w:rFonts w:hint="eastAsia" w:ascii="华文仿宋" w:hAnsi="华文仿宋" w:eastAsia="华文仿宋" w:cs="华文仿宋"/>
          <w:color w:val="auto"/>
          <w:sz w:val="32"/>
          <w:szCs w:val="32"/>
        </w:rPr>
      </w:pPr>
      <w:r>
        <w:rPr>
          <w:rFonts w:hint="eastAsia" w:ascii="华文仿宋" w:hAnsi="华文仿宋" w:eastAsia="华文仿宋" w:cs="华文仿宋"/>
          <w:color w:val="auto"/>
          <w:sz w:val="32"/>
          <w:szCs w:val="32"/>
        </w:rPr>
        <w:t>请</w:t>
      </w:r>
      <w:r>
        <w:rPr>
          <w:rFonts w:hint="eastAsia" w:ascii="华文仿宋" w:hAnsi="华文仿宋" w:eastAsia="华文仿宋" w:cs="华文仿宋"/>
          <w:color w:val="auto"/>
          <w:sz w:val="32"/>
          <w:szCs w:val="32"/>
        </w:rPr>
        <w:t>求人</w:t>
      </w:r>
      <w:r>
        <w:rPr>
          <w:rFonts w:hint="eastAsia" w:ascii="华文仿宋" w:hAnsi="华文仿宋" w:eastAsia="华文仿宋" w:cs="华文仿宋"/>
          <w:color w:val="auto"/>
          <w:sz w:val="32"/>
          <w:szCs w:val="32"/>
          <w:lang w:eastAsia="zh-CN"/>
        </w:rPr>
        <w:t>：</w:t>
      </w:r>
      <w:r>
        <w:rPr>
          <w:rFonts w:hint="eastAsia" w:ascii="华文仿宋" w:hAnsi="华文仿宋" w:eastAsia="华文仿宋" w:cs="华文仿宋"/>
          <w:color w:val="auto"/>
          <w:sz w:val="32"/>
          <w:szCs w:val="32"/>
        </w:rPr>
        <w:t>百乐墨水株式会社</w:t>
      </w:r>
    </w:p>
    <w:p>
      <w:pPr>
        <w:rPr>
          <w:rFonts w:hint="default" w:ascii="华文仿宋" w:hAnsi="华文仿宋" w:eastAsia="华文仿宋" w:cs="华文仿宋"/>
          <w:color w:val="auto"/>
          <w:sz w:val="32"/>
          <w:szCs w:val="32"/>
          <w:lang w:val="en-US"/>
        </w:rPr>
      </w:pPr>
      <w:r>
        <w:rPr>
          <w:rFonts w:hint="eastAsia" w:ascii="华文仿宋" w:hAnsi="华文仿宋" w:eastAsia="华文仿宋" w:cs="华文仿宋"/>
          <w:color w:val="auto"/>
          <w:sz w:val="32"/>
          <w:szCs w:val="32"/>
          <w:lang w:val="en-US" w:eastAsia="zh-CN"/>
        </w:rPr>
        <w:t>法定代表人：木村 勉</w:t>
      </w:r>
    </w:p>
    <w:p>
      <w:pPr>
        <w:rPr>
          <w:rFonts w:hint="eastAsia" w:ascii="华文仿宋" w:hAnsi="华文仿宋" w:eastAsia="华文仿宋" w:cs="华文仿宋"/>
          <w:color w:val="auto"/>
          <w:sz w:val="32"/>
          <w:szCs w:val="32"/>
          <w:lang w:val="en-US" w:eastAsia="zh-CN"/>
        </w:rPr>
      </w:pPr>
      <w:r>
        <w:rPr>
          <w:rFonts w:hint="eastAsia" w:ascii="华文仿宋" w:hAnsi="华文仿宋" w:eastAsia="华文仿宋" w:cs="华文仿宋"/>
          <w:color w:val="auto"/>
          <w:sz w:val="32"/>
          <w:szCs w:val="32"/>
        </w:rPr>
        <w:t>地址</w:t>
      </w:r>
      <w:r>
        <w:rPr>
          <w:rFonts w:hint="eastAsia" w:ascii="华文仿宋" w:hAnsi="华文仿宋" w:eastAsia="华文仿宋" w:cs="华文仿宋"/>
          <w:color w:val="auto"/>
          <w:sz w:val="32"/>
          <w:szCs w:val="32"/>
          <w:lang w:eastAsia="zh-CN"/>
        </w:rPr>
        <w:t>：日本名古屋市昭和区绿町三丁目17番地</w:t>
      </w:r>
    </w:p>
    <w:p>
      <w:pPr>
        <w:rPr>
          <w:rFonts w:hint="eastAsia" w:ascii="华文仿宋" w:hAnsi="华文仿宋" w:eastAsia="华文仿宋" w:cs="华文仿宋"/>
          <w:color w:val="auto"/>
          <w:sz w:val="32"/>
          <w:szCs w:val="32"/>
          <w:lang w:eastAsia="zh-CN"/>
        </w:rPr>
      </w:pPr>
      <w:r>
        <w:rPr>
          <w:rFonts w:hint="eastAsia" w:ascii="华文仿宋" w:hAnsi="华文仿宋" w:eastAsia="华文仿宋" w:cs="华文仿宋"/>
          <w:color w:val="auto"/>
          <w:sz w:val="32"/>
          <w:szCs w:val="32"/>
        </w:rPr>
        <w:t>被请求人</w:t>
      </w:r>
      <w:r>
        <w:rPr>
          <w:rFonts w:hint="eastAsia" w:ascii="华文仿宋" w:hAnsi="华文仿宋" w:eastAsia="华文仿宋" w:cs="华文仿宋"/>
          <w:color w:val="auto"/>
          <w:sz w:val="32"/>
          <w:szCs w:val="32"/>
          <w:lang w:eastAsia="zh-CN"/>
        </w:rPr>
        <w:t>：</w:t>
      </w:r>
      <w:bookmarkStart w:id="0" w:name="OLE_LINK2"/>
      <w:r>
        <w:rPr>
          <w:rFonts w:hint="eastAsia" w:ascii="华文仿宋" w:hAnsi="华文仿宋" w:eastAsia="华文仿宋" w:cs="华文仿宋"/>
          <w:color w:val="auto"/>
          <w:sz w:val="32"/>
          <w:szCs w:val="32"/>
          <w:lang w:eastAsia="zh-CN"/>
        </w:rPr>
        <w:t>宁波拿撒勒制笔有限公司</w:t>
      </w:r>
      <w:bookmarkEnd w:id="0"/>
    </w:p>
    <w:p>
      <w:pPr>
        <w:rPr>
          <w:rFonts w:hint="default" w:ascii="华文仿宋" w:hAnsi="华文仿宋" w:eastAsia="华文仿宋" w:cs="华文仿宋"/>
          <w:color w:val="auto"/>
          <w:sz w:val="32"/>
          <w:szCs w:val="32"/>
          <w:lang w:val="en-US" w:eastAsia="zh-CN"/>
        </w:rPr>
      </w:pPr>
      <w:r>
        <w:rPr>
          <w:rFonts w:hint="eastAsia" w:ascii="华文仿宋" w:hAnsi="华文仿宋" w:eastAsia="华文仿宋" w:cs="华文仿宋"/>
          <w:color w:val="auto"/>
          <w:sz w:val="32"/>
          <w:szCs w:val="32"/>
        </w:rPr>
        <w:t>地址</w:t>
      </w:r>
      <w:r>
        <w:rPr>
          <w:rFonts w:hint="eastAsia" w:ascii="华文仿宋" w:hAnsi="华文仿宋" w:eastAsia="华文仿宋" w:cs="华文仿宋"/>
          <w:color w:val="auto"/>
          <w:sz w:val="32"/>
          <w:szCs w:val="32"/>
          <w:lang w:eastAsia="zh-CN"/>
        </w:rPr>
        <w:t>：慈溪市观海卫镇五里村</w:t>
      </w:r>
    </w:p>
    <w:p>
      <w:pPr>
        <w:rPr>
          <w:rFonts w:hint="eastAsia" w:ascii="华文仿宋" w:hAnsi="华文仿宋" w:eastAsia="华文仿宋" w:cs="华文仿宋"/>
          <w:color w:val="auto"/>
          <w:sz w:val="32"/>
          <w:szCs w:val="32"/>
          <w:lang w:val="en-US" w:eastAsia="zh-CN"/>
        </w:rPr>
      </w:pPr>
      <w:r>
        <w:rPr>
          <w:rFonts w:hint="eastAsia" w:ascii="华文仿宋" w:hAnsi="华文仿宋" w:eastAsia="华文仿宋" w:cs="华文仿宋"/>
          <w:color w:val="auto"/>
          <w:sz w:val="32"/>
          <w:szCs w:val="32"/>
          <w:lang w:val="en-US" w:eastAsia="zh-CN"/>
        </w:rPr>
        <w:t>法定代表人：唐建萍</w:t>
      </w:r>
    </w:p>
    <w:p>
      <w:pPr>
        <w:rPr>
          <w:rFonts w:hint="eastAsia" w:ascii="华文仿宋" w:hAnsi="华文仿宋" w:eastAsia="华文仿宋" w:cs="华文仿宋"/>
          <w:color w:val="auto"/>
          <w:sz w:val="32"/>
          <w:szCs w:val="32"/>
          <w:lang w:val="en-US" w:eastAsia="zh-CN"/>
        </w:rPr>
      </w:pPr>
      <w:r>
        <w:rPr>
          <w:rFonts w:hint="eastAsia" w:ascii="华文仿宋" w:hAnsi="华文仿宋" w:eastAsia="华文仿宋" w:cs="华文仿宋"/>
          <w:color w:val="auto"/>
          <w:sz w:val="32"/>
          <w:szCs w:val="32"/>
          <w:lang w:val="en-US" w:eastAsia="zh-CN"/>
        </w:rPr>
        <w:t>案由：百乐墨水株式会社诉宁波拿撒勒制笔有限公司的直液式笔具的发明专利案，专利名称“直液式笔具”，专利号：ZL200810097132.5</w:t>
      </w:r>
    </w:p>
    <w:p>
      <w:pPr>
        <w:ind w:firstLine="640"/>
        <w:rPr>
          <w:rFonts w:hint="eastAsia" w:ascii="华文仿宋" w:hAnsi="华文仿宋" w:eastAsia="华文仿宋" w:cs="华文仿宋"/>
          <w:color w:val="auto"/>
          <w:sz w:val="32"/>
          <w:szCs w:val="32"/>
          <w:lang w:val="en-US" w:eastAsia="zh-CN"/>
        </w:rPr>
      </w:pPr>
      <w:r>
        <w:rPr>
          <w:rFonts w:hint="eastAsia" w:ascii="华文仿宋" w:hAnsi="华文仿宋" w:eastAsia="华文仿宋" w:cs="华文仿宋"/>
          <w:color w:val="auto"/>
          <w:sz w:val="32"/>
          <w:szCs w:val="32"/>
          <w:lang w:val="en-US" w:eastAsia="zh-CN"/>
        </w:rPr>
        <w:t>请求人就其“直液式笔具”的发明专利（专利号：ZL200810097132.5）与被请求人的专利侵权纠纷，向我局提出处理请求。我局于2024年10月21日受理后，依照《专利行政执法办法》第十三条组成合议组。合议组于2024年11月26日、2025年1月3日分别进行了口头审理，请求人代理人和被请求人代理人到庭参加了口头审理。现本案已审结。</w:t>
      </w:r>
    </w:p>
    <w:p>
      <w:pPr>
        <w:ind w:firstLine="640"/>
        <w:rPr>
          <w:rFonts w:hint="default" w:ascii="华文仿宋" w:hAnsi="华文仿宋" w:eastAsia="华文仿宋" w:cs="华文仿宋"/>
          <w:color w:val="auto"/>
          <w:sz w:val="32"/>
          <w:szCs w:val="32"/>
          <w:lang w:val="en-US" w:eastAsia="zh-CN"/>
        </w:rPr>
      </w:pPr>
      <w:r>
        <w:rPr>
          <w:rFonts w:hint="default" w:ascii="华文仿宋" w:hAnsi="华文仿宋" w:eastAsia="华文仿宋" w:cs="华文仿宋"/>
          <w:color w:val="auto"/>
          <w:sz w:val="32"/>
          <w:szCs w:val="32"/>
          <w:lang w:val="en-US" w:eastAsia="zh-CN"/>
        </w:rPr>
        <w:t>请求人</w:t>
      </w:r>
      <w:r>
        <w:rPr>
          <w:rFonts w:hint="eastAsia" w:ascii="华文仿宋" w:hAnsi="华文仿宋" w:eastAsia="华文仿宋" w:cs="华文仿宋"/>
          <w:color w:val="auto"/>
          <w:sz w:val="32"/>
          <w:szCs w:val="32"/>
          <w:lang w:val="en-US" w:eastAsia="zh-CN"/>
        </w:rPr>
        <w:t>诉求：1.责令被请求人立即停止侵权行为，停止生产、销售、许诺销售侵犯请求人的专利产品；2.立即销毁侵权产品及制造侵权产品的专用设备和模具；3.对被申请人生产销售现场进行勘验检查；4.造成的损失给予经济赔偿。</w:t>
      </w:r>
    </w:p>
    <w:p>
      <w:pPr>
        <w:ind w:firstLine="640"/>
        <w:rPr>
          <w:rFonts w:hint="eastAsia" w:ascii="华文仿宋" w:hAnsi="华文仿宋" w:eastAsia="华文仿宋" w:cs="华文仿宋"/>
          <w:color w:val="auto"/>
          <w:sz w:val="32"/>
          <w:szCs w:val="32"/>
          <w:lang w:val="en-US" w:eastAsia="zh-CN"/>
        </w:rPr>
      </w:pPr>
      <w:r>
        <w:rPr>
          <w:rFonts w:hint="eastAsia" w:ascii="华文仿宋" w:hAnsi="华文仿宋" w:eastAsia="华文仿宋" w:cs="华文仿宋"/>
          <w:color w:val="auto"/>
          <w:sz w:val="32"/>
          <w:szCs w:val="32"/>
          <w:lang w:val="en-US" w:eastAsia="zh-CN"/>
        </w:rPr>
        <w:t>事实与理由：请求人于2005年09月14日向国家知识产权局申请了上述涉案专利，该专利在2010年04月07日被授权公告，专利号为ZL200810097132.5，请求人至今仍享有该专利权。请求人获悉被请求人未经许可，制造、销售、许诺销售侵权产品，于2024年6月6日从被请求人处购买了11340支涉案侵权产品并公证证据保全。请求人</w:t>
      </w:r>
      <w:r>
        <w:rPr>
          <w:rFonts w:hint="eastAsia" w:ascii="华文仿宋" w:hAnsi="华文仿宋" w:eastAsia="华文仿宋" w:cs="华文仿宋"/>
          <w:color w:val="auto"/>
          <w:sz w:val="32"/>
          <w:szCs w:val="32"/>
          <w:lang w:eastAsia="zh-CN"/>
        </w:rPr>
        <w:t>取得侵权产品后，与专利进行了比对，认为产品侵犯了请求人的发明专利权，被控侵权产品落入涉案专利权利要求</w:t>
      </w:r>
      <w:r>
        <w:rPr>
          <w:rFonts w:hint="eastAsia" w:ascii="华文仿宋" w:hAnsi="华文仿宋" w:eastAsia="华文仿宋" w:cs="华文仿宋"/>
          <w:color w:val="auto"/>
          <w:sz w:val="32"/>
          <w:szCs w:val="32"/>
          <w:lang w:val="en-US" w:eastAsia="zh-CN"/>
        </w:rPr>
        <w:t>1-6、10-14、16</w:t>
      </w:r>
      <w:r>
        <w:rPr>
          <w:rFonts w:hint="eastAsia" w:ascii="华文仿宋" w:hAnsi="华文仿宋" w:eastAsia="华文仿宋" w:cs="华文仿宋"/>
          <w:color w:val="auto"/>
          <w:sz w:val="32"/>
          <w:szCs w:val="32"/>
          <w:lang w:eastAsia="zh-CN"/>
        </w:rPr>
        <w:t>保护范围。</w:t>
      </w:r>
    </w:p>
    <w:p>
      <w:pPr>
        <w:ind w:firstLine="640"/>
        <w:rPr>
          <w:rFonts w:hint="eastAsia" w:ascii="华文仿宋" w:hAnsi="华文仿宋" w:eastAsia="华文仿宋" w:cs="华文仿宋"/>
          <w:color w:val="auto"/>
          <w:sz w:val="32"/>
          <w:szCs w:val="32"/>
          <w:lang w:val="en-US" w:eastAsia="zh-CN"/>
        </w:rPr>
      </w:pPr>
      <w:r>
        <w:rPr>
          <w:rFonts w:hint="eastAsia" w:ascii="华文仿宋" w:hAnsi="华文仿宋" w:eastAsia="华文仿宋" w:cs="华文仿宋"/>
          <w:color w:val="auto"/>
          <w:sz w:val="32"/>
          <w:szCs w:val="32"/>
          <w:lang w:val="en-US" w:eastAsia="zh-CN"/>
        </w:rPr>
        <w:t>被请求人辩称，本公司以进出口贸易为主，不进行生产活动，且在得知有侵权风险后，本公司已立即停止销售、许诺销售侵权产品行为</w:t>
      </w:r>
      <w:r>
        <w:rPr>
          <w:rFonts w:hint="eastAsia" w:ascii="华文仿宋" w:hAnsi="华文仿宋" w:eastAsia="华文仿宋" w:cs="华文仿宋"/>
          <w:color w:val="auto"/>
          <w:sz w:val="32"/>
          <w:szCs w:val="32"/>
          <w:lang w:val="en-US" w:eastAsia="zh-CN"/>
        </w:rPr>
        <w:t>。</w:t>
      </w:r>
    </w:p>
    <w:p>
      <w:pPr>
        <w:ind w:firstLine="640"/>
        <w:rPr>
          <w:rFonts w:hint="eastAsia" w:ascii="华文仿宋" w:hAnsi="华文仿宋" w:eastAsia="华文仿宋" w:cs="华文仿宋"/>
          <w:color w:val="auto"/>
          <w:sz w:val="32"/>
          <w:szCs w:val="32"/>
          <w:lang w:val="en-US" w:eastAsia="zh-CN"/>
        </w:rPr>
      </w:pPr>
      <w:r>
        <w:rPr>
          <w:rFonts w:hint="eastAsia" w:ascii="华文仿宋" w:hAnsi="华文仿宋" w:eastAsia="华文仿宋" w:cs="华文仿宋"/>
          <w:color w:val="auto"/>
          <w:sz w:val="32"/>
          <w:szCs w:val="32"/>
          <w:lang w:val="en-US" w:eastAsia="zh-CN"/>
        </w:rPr>
        <w:t>当事人围绕请求事项依法提交了证据，我局组织当事人进行了举证和质证。对当事人无异议的证据，我局予以确认并在卷佐证。</w:t>
      </w:r>
    </w:p>
    <w:p>
      <w:pPr>
        <w:ind w:firstLine="640"/>
        <w:rPr>
          <w:rFonts w:hint="eastAsia" w:ascii="华文仿宋" w:hAnsi="华文仿宋" w:eastAsia="华文仿宋" w:cs="华文仿宋"/>
          <w:color w:val="auto"/>
          <w:sz w:val="32"/>
          <w:szCs w:val="32"/>
          <w:lang w:val="en-US" w:eastAsia="zh-CN"/>
        </w:rPr>
      </w:pPr>
      <w:r>
        <w:rPr>
          <w:rFonts w:hint="eastAsia" w:ascii="华文仿宋" w:hAnsi="华文仿宋" w:eastAsia="华文仿宋" w:cs="华文仿宋"/>
          <w:color w:val="auto"/>
          <w:sz w:val="32"/>
          <w:szCs w:val="32"/>
          <w:lang w:val="en-US" w:eastAsia="zh-CN"/>
        </w:rPr>
        <w:t>根据当事人陈述和经审查确认的证据，</w:t>
      </w:r>
      <w:r>
        <w:rPr>
          <w:rFonts w:hint="eastAsia" w:ascii="华文仿宋" w:hAnsi="华文仿宋" w:eastAsia="华文仿宋" w:cs="华文仿宋"/>
          <w:color w:val="auto"/>
          <w:sz w:val="32"/>
          <w:szCs w:val="32"/>
          <w:lang w:val="en-US" w:eastAsia="zh-CN"/>
        </w:rPr>
        <w:t>我局认定事实如下：</w:t>
      </w:r>
    </w:p>
    <w:p>
      <w:pPr>
        <w:ind w:firstLine="640"/>
        <w:rPr>
          <w:rFonts w:hint="eastAsia" w:ascii="华文仿宋" w:hAnsi="华文仿宋" w:eastAsia="华文仿宋" w:cs="华文仿宋"/>
          <w:color w:val="auto"/>
          <w:sz w:val="32"/>
          <w:szCs w:val="32"/>
          <w:lang w:val="en-US" w:eastAsia="zh-CN"/>
        </w:rPr>
      </w:pPr>
      <w:r>
        <w:rPr>
          <w:rFonts w:hint="eastAsia" w:ascii="华文仿宋" w:hAnsi="华文仿宋" w:eastAsia="华文仿宋" w:cs="华文仿宋"/>
          <w:color w:val="auto"/>
          <w:sz w:val="32"/>
          <w:szCs w:val="32"/>
          <w:lang w:val="en-US" w:eastAsia="zh-CN"/>
        </w:rPr>
        <w:t>涉案发明专利的专利号为ZL200810097132.5，名称“直液式笔具”，该专利申请日为2005年09月14日，授权公告日为2010年04月07日，该专利现处于法律保护有效期内。</w:t>
      </w:r>
    </w:p>
    <w:p>
      <w:pPr>
        <w:ind w:firstLine="640"/>
        <w:rPr>
          <w:rFonts w:hint="default" w:ascii="华文仿宋" w:hAnsi="华文仿宋" w:eastAsia="华文仿宋" w:cs="华文仿宋"/>
          <w:color w:val="auto"/>
          <w:sz w:val="32"/>
          <w:szCs w:val="32"/>
          <w:lang w:val="en-US" w:eastAsia="zh-CN"/>
        </w:rPr>
      </w:pPr>
      <w:r>
        <w:rPr>
          <w:rFonts w:hint="eastAsia" w:ascii="华文仿宋" w:hAnsi="华文仿宋" w:eastAsia="华文仿宋" w:cs="华文仿宋"/>
          <w:color w:val="auto"/>
          <w:sz w:val="32"/>
          <w:szCs w:val="32"/>
          <w:lang w:val="en-US" w:eastAsia="zh-CN"/>
        </w:rPr>
        <w:t>该发明专利</w:t>
      </w:r>
      <w:bookmarkStart w:id="1" w:name="OLE_LINK4"/>
      <w:r>
        <w:rPr>
          <w:rFonts w:hint="eastAsia" w:ascii="华文仿宋" w:hAnsi="华文仿宋" w:eastAsia="华文仿宋" w:cs="华文仿宋"/>
          <w:color w:val="auto"/>
          <w:sz w:val="32"/>
          <w:szCs w:val="32"/>
          <w:lang w:val="en-US" w:eastAsia="zh-CN"/>
        </w:rPr>
        <w:t>权利要求1：</w:t>
      </w:r>
      <w:bookmarkEnd w:id="1"/>
      <w:r>
        <w:rPr>
          <w:rFonts w:hint="eastAsia" w:ascii="华文仿宋" w:hAnsi="华文仿宋" w:eastAsia="华文仿宋" w:cs="华文仿宋"/>
          <w:color w:val="auto"/>
          <w:sz w:val="32"/>
          <w:szCs w:val="32"/>
          <w:lang w:val="en-US" w:eastAsia="zh-CN"/>
        </w:rPr>
        <w:t>一种直液式笔具，包括:笔尖;墨水吸附体，连接在上述笔尖的后端;墨水管，配置在上述墨水吸附体的后方，直接贮存墨水;以及连通管，连接上述墨水管和上述墨水吸附体，其特征在于:具有多个上述连通管，上述各连通管的前端被开口，上述各连通管的前端位于墨水吸附体内部，上述各连通管的前端的轴向位置设定为互相相等。权利要求2：一种直液式笔具，包括:笔尖;墨水吸附体，连接在上述笔尖的后端;墨水管，配置在上述墨水吸附体的后方，直接贮存墨水;以及连通管，连接上述墨水管和上述墨水吸附体，其特征在于:具有多个上述连通管，上述各连通管的前端被开口，上述各连通管的前端位于墨水吸附体内部的笔尖后端附近。权利要求3：一种直液式笔具，包括:笔尖;墨水吸附体，连接在上述笔尖的后端;墨水管，配置在上述墨水吸附体的后方，直接贮存墨水;以及连通管，连接上述墨水管和上述墨水吸附体，其特征在于:具有多个上述连通管，上述各连通管的前端被开口，上述各连通管的前端位于墨水吸附体内部的笔尖后端附近，上述各连通管的前端的轴向位置设定为互相相等。权利要求4：一种直液式笔具，包括:笔尖;墨水吸附体，连接在上述笔尖的后端;墨水管，配置在上述墨水吸附体的后方，直接贮存墨水;以及连通管，连接上述墨水管和上述墨水吸附体，其特征在于:具有多个上述连通管，上述各连通管的前端被开口，上述各连通管的前端位于上述墨水吸附体的内部前方，上述笔尖的后端位于上述墨水吸附体的内部前方。权利要求5：一种直液式笔具，包括:笔尖;墨水吸附体，连接在上述笔尖的后端;墨水管，配置在上述墨水吸附体的后方，直接贮存墨水;以及连通管，连接上述墨水管和上述墨水吸附体，其特征在于:具有多个上述连通管，上述各连通管的前端被开口，上述各连通管的前端位于墨水吸附体内部。权利要求6：如权利要求1~5中的任一项所述的直液式笔具，其特征在于:通过上述墨水吸附体，上述笔尖的后端和上述各连通管的前端之间连接成墨水可以流通。权利要求10：如权利要求1~5中的任一项所述的直液式笔具，其特征在于:从上述墨水吸附体的前端到上述各连通管的前端的轴向的距离，设定为大于等于上述墨水吸附体整体的轴向长度的3%且小于等于50%。权利要求11：如权利要求1~5中的任一项所述的直液式笔具，其特征在于:从上述墨水吸附体的前端起到上述各连通管的前端为止的轴向距离设定为相等。权利要求12：如权利要求1~5中的任一项所述的直液式笔具，其特征在于:上述各连通管的前端和上述笔尖的后端的轴向距离设定为小于等于10mm。权利要求13：如权利要求1~5中的任一项所述的直液式笔具，其特征在于:上述各连通管的前端和上述笔尖的后端之间的间隔设定为相等。权利要求14：如权利要求1~5中的任一项所述的直液式笔具，其特征在于:上述墨水吸附体的前端面和后端面与大气相连通。权利要求16：如权利要求1~5中的任一项所述的直液式笔具，其特征在于:将上述各连通管的侧壁相互连结。</w:t>
      </w:r>
    </w:p>
    <w:p>
      <w:pPr>
        <w:ind w:firstLine="640"/>
        <w:rPr>
          <w:rFonts w:hint="default" w:ascii="华文仿宋" w:hAnsi="华文仿宋" w:eastAsia="华文仿宋" w:cs="华文仿宋"/>
          <w:color w:val="auto"/>
          <w:sz w:val="32"/>
          <w:szCs w:val="32"/>
          <w:lang w:val="en-US" w:eastAsia="zh-CN"/>
        </w:rPr>
      </w:pPr>
      <w:r>
        <w:rPr>
          <w:rFonts w:hint="eastAsia" w:ascii="华文仿宋" w:hAnsi="华文仿宋" w:eastAsia="华文仿宋" w:cs="华文仿宋"/>
          <w:color w:val="auto"/>
          <w:sz w:val="32"/>
          <w:szCs w:val="32"/>
          <w:lang w:val="en-US" w:eastAsia="zh-CN"/>
        </w:rPr>
        <w:t>请求人于2024年7月22日，通过公证处以保全证据的方式，对向被请求人采购的10箱型号为L218和10箱型号为L218+的产品进行收货并随机抽取6件（盒）产品进行封存，</w:t>
      </w:r>
      <w:r>
        <w:rPr>
          <w:rFonts w:hint="eastAsia" w:ascii="华文仿宋" w:hAnsi="华文仿宋" w:eastAsia="华文仿宋" w:cs="华文仿宋"/>
          <w:color w:val="auto"/>
          <w:sz w:val="32"/>
          <w:szCs w:val="32"/>
          <w:lang w:val="en-US" w:eastAsia="zh-CN"/>
        </w:rPr>
        <w:t>同时，对微信与“Lisa宁波拿撒勒”的关于采购涉案侵权产品的聊天记录进行查看，该聊天记录中“Lisa宁波拿撒勒”向请求人发送了名为“样本2021”的文件，文件中出现“CIXI MINSTOCK”字样和厂名为“慈溪市明仕达制笔厂”的图片，且在聊天记录中发送了由被请求人宁波拿撒勒制笔有限公司盖章的销售涉案产品的销售合同。</w:t>
      </w:r>
      <w:r>
        <w:rPr>
          <w:rFonts w:hint="eastAsia" w:ascii="华文仿宋" w:hAnsi="华文仿宋" w:eastAsia="华文仿宋" w:cs="华文仿宋"/>
          <w:color w:val="auto"/>
          <w:sz w:val="32"/>
          <w:szCs w:val="32"/>
          <w:lang w:val="en-US" w:eastAsia="zh-CN"/>
        </w:rPr>
        <w:t>被请求人的主要股东陈雄明是</w:t>
      </w:r>
      <w:bookmarkStart w:id="2" w:name="OLE_LINK1"/>
      <w:r>
        <w:rPr>
          <w:rFonts w:hint="eastAsia" w:ascii="华文仿宋" w:hAnsi="华文仿宋" w:eastAsia="华文仿宋" w:cs="华文仿宋"/>
          <w:color w:val="auto"/>
          <w:sz w:val="32"/>
          <w:szCs w:val="32"/>
          <w:lang w:val="en-US" w:eastAsia="zh-CN"/>
        </w:rPr>
        <w:t>慈溪市明仕达制笔厂</w:t>
      </w:r>
      <w:bookmarkEnd w:id="2"/>
      <w:r>
        <w:rPr>
          <w:rFonts w:hint="eastAsia" w:ascii="华文仿宋" w:hAnsi="华文仿宋" w:eastAsia="华文仿宋" w:cs="华文仿宋"/>
          <w:color w:val="auto"/>
          <w:sz w:val="32"/>
          <w:szCs w:val="32"/>
          <w:lang w:val="en-US" w:eastAsia="zh-CN"/>
        </w:rPr>
        <w:t>的投资人，两家企业的注册地址为慈溪市观海卫镇五里村，实际经营地址为慈溪市观海卫镇五里村西大街西段18号，经营范围均包括笔具制造。请求人于2025年1月2日，通过可信时间戳认证证书以保全证据的方式，从1688网站上搜索“宁波拿撒勒”，显示“宁波拿撒勒制笔有限公司”在1688上开设店铺，对外宣传其是文具制造的生产厂家。</w:t>
      </w:r>
    </w:p>
    <w:p>
      <w:pPr>
        <w:ind w:firstLine="640"/>
        <w:rPr>
          <w:rFonts w:hint="eastAsia" w:ascii="华文仿宋" w:hAnsi="华文仿宋" w:eastAsia="华文仿宋" w:cs="华文仿宋"/>
          <w:color w:val="auto"/>
          <w:sz w:val="32"/>
          <w:szCs w:val="32"/>
          <w:lang w:val="en-US" w:eastAsia="zh-CN"/>
        </w:rPr>
      </w:pPr>
      <w:r>
        <w:rPr>
          <w:rFonts w:hint="eastAsia" w:ascii="华文仿宋" w:hAnsi="华文仿宋" w:eastAsia="华文仿宋" w:cs="华文仿宋"/>
          <w:color w:val="auto"/>
          <w:sz w:val="32"/>
          <w:szCs w:val="32"/>
          <w:lang w:val="en-US" w:eastAsia="zh-CN"/>
        </w:rPr>
        <w:t>根据已查明的事实，结合请求方与被请求方诉请和庭审内容</w:t>
      </w:r>
      <w:r>
        <w:rPr>
          <w:rFonts w:hint="eastAsia" w:ascii="华文仿宋" w:hAnsi="华文仿宋" w:eastAsia="华文仿宋" w:cs="华文仿宋"/>
          <w:color w:val="auto"/>
          <w:sz w:val="32"/>
          <w:szCs w:val="32"/>
          <w:lang w:val="en-US" w:eastAsia="zh-CN"/>
        </w:rPr>
        <w:t>，本案的争议焦点为：1、涉案产品是否落入</w:t>
      </w:r>
      <w:r>
        <w:rPr>
          <w:rFonts w:hint="eastAsia" w:ascii="华文仿宋" w:hAnsi="华文仿宋" w:eastAsia="华文仿宋" w:cs="华文仿宋"/>
          <w:color w:val="auto"/>
          <w:sz w:val="32"/>
          <w:szCs w:val="32"/>
          <w:lang w:eastAsia="zh-CN"/>
        </w:rPr>
        <w:t>涉案专利权利要求</w:t>
      </w:r>
      <w:r>
        <w:rPr>
          <w:rFonts w:hint="eastAsia" w:ascii="华文仿宋" w:hAnsi="华文仿宋" w:eastAsia="华文仿宋" w:cs="华文仿宋"/>
          <w:color w:val="auto"/>
          <w:sz w:val="32"/>
          <w:szCs w:val="32"/>
          <w:lang w:val="en-US" w:eastAsia="zh-CN"/>
        </w:rPr>
        <w:t>1-6、10-14、16</w:t>
      </w:r>
      <w:r>
        <w:rPr>
          <w:rFonts w:hint="eastAsia" w:ascii="华文仿宋" w:hAnsi="华文仿宋" w:eastAsia="华文仿宋" w:cs="华文仿宋"/>
          <w:color w:val="auto"/>
          <w:sz w:val="32"/>
          <w:szCs w:val="32"/>
          <w:lang w:eastAsia="zh-CN"/>
        </w:rPr>
        <w:t>保护范围</w:t>
      </w:r>
      <w:r>
        <w:rPr>
          <w:rFonts w:hint="eastAsia" w:ascii="华文仿宋" w:hAnsi="华文仿宋" w:eastAsia="华文仿宋" w:cs="华文仿宋"/>
          <w:color w:val="auto"/>
          <w:sz w:val="32"/>
          <w:szCs w:val="32"/>
          <w:lang w:val="en-US" w:eastAsia="zh-CN"/>
        </w:rPr>
        <w:t>；2、被请求人制造行为是否成立。</w:t>
      </w:r>
    </w:p>
    <w:p>
      <w:pPr>
        <w:ind w:firstLine="640"/>
        <w:rPr>
          <w:rFonts w:hint="default" w:ascii="华文仿宋" w:hAnsi="华文仿宋" w:eastAsia="华文仿宋" w:cs="华文仿宋"/>
          <w:color w:val="auto"/>
          <w:sz w:val="32"/>
          <w:szCs w:val="32"/>
          <w:lang w:val="en-US" w:eastAsia="zh-CN"/>
        </w:rPr>
      </w:pPr>
      <w:r>
        <w:rPr>
          <w:rFonts w:hint="default" w:ascii="华文仿宋" w:hAnsi="华文仿宋" w:eastAsia="华文仿宋" w:cs="华文仿宋"/>
          <w:color w:val="auto"/>
          <w:sz w:val="32"/>
          <w:szCs w:val="32"/>
          <w:lang w:val="en-US" w:eastAsia="zh-CN"/>
        </w:rPr>
        <w:t>关于争议焦点</w:t>
      </w:r>
      <w:r>
        <w:rPr>
          <w:rFonts w:hint="eastAsia" w:ascii="华文仿宋" w:hAnsi="华文仿宋" w:eastAsia="华文仿宋" w:cs="华文仿宋"/>
          <w:color w:val="auto"/>
          <w:sz w:val="32"/>
          <w:szCs w:val="32"/>
          <w:lang w:val="en-US" w:eastAsia="zh-CN"/>
        </w:rPr>
        <w:t>一</w:t>
      </w:r>
      <w:r>
        <w:rPr>
          <w:rFonts w:hint="default" w:ascii="华文仿宋" w:hAnsi="华文仿宋" w:eastAsia="华文仿宋" w:cs="华文仿宋"/>
          <w:color w:val="auto"/>
          <w:sz w:val="32"/>
          <w:szCs w:val="32"/>
          <w:lang w:val="en-US" w:eastAsia="zh-CN"/>
        </w:rPr>
        <w:t>，请求人在本案中主张被控侵权产品型号为L218的白板笔</w:t>
      </w:r>
      <w:r>
        <w:rPr>
          <w:rFonts w:hint="eastAsia" w:ascii="华文仿宋" w:hAnsi="华文仿宋" w:eastAsia="华文仿宋" w:cs="华文仿宋"/>
          <w:color w:val="auto"/>
          <w:sz w:val="32"/>
          <w:szCs w:val="32"/>
          <w:lang w:val="en-US" w:eastAsia="zh-CN"/>
        </w:rPr>
        <w:t>及型号为L218+的白板笔</w:t>
      </w:r>
      <w:bookmarkStart w:id="3" w:name="OLE_LINK6"/>
      <w:r>
        <w:rPr>
          <w:rFonts w:hint="eastAsia" w:ascii="华文仿宋" w:hAnsi="华文仿宋" w:eastAsia="华文仿宋" w:cs="华文仿宋"/>
          <w:color w:val="auto"/>
          <w:sz w:val="32"/>
          <w:szCs w:val="32"/>
          <w:lang w:val="en-US" w:eastAsia="zh-CN"/>
        </w:rPr>
        <w:t>均</w:t>
      </w:r>
      <w:r>
        <w:rPr>
          <w:rFonts w:hint="default" w:ascii="华文仿宋" w:hAnsi="华文仿宋" w:eastAsia="华文仿宋" w:cs="华文仿宋"/>
          <w:color w:val="auto"/>
          <w:sz w:val="32"/>
          <w:szCs w:val="32"/>
          <w:lang w:val="en-US" w:eastAsia="zh-CN"/>
        </w:rPr>
        <w:t>落入涉案专利1-6、10-14、16的保护范围，并提供了侵权比对</w:t>
      </w:r>
      <w:bookmarkEnd w:id="3"/>
      <w:r>
        <w:rPr>
          <w:rFonts w:hint="default" w:ascii="华文仿宋" w:hAnsi="华文仿宋" w:eastAsia="华文仿宋" w:cs="华文仿宋"/>
          <w:color w:val="auto"/>
          <w:sz w:val="32"/>
          <w:szCs w:val="32"/>
          <w:lang w:val="en-US" w:eastAsia="zh-CN"/>
        </w:rPr>
        <w:t>，说明被控侵权产品与涉案专利权利要求的对应关系。</w:t>
      </w:r>
      <w:r>
        <w:rPr>
          <w:rFonts w:hint="eastAsia" w:ascii="华文仿宋" w:hAnsi="华文仿宋" w:eastAsia="华文仿宋" w:cs="华文仿宋"/>
          <w:color w:val="auto"/>
          <w:sz w:val="32"/>
          <w:szCs w:val="32"/>
          <w:lang w:val="en-US" w:eastAsia="zh-CN"/>
        </w:rPr>
        <w:t>经被请求人确认，被请求人销售的产品与本局自慈溪市明仕达制笔厂抽样的产品一致。对比自慈溪市明仕达制笔厂抽样的产品（型号为L218的白板笔及型号为L218+的白板笔）与涉案专利权，请求人依旧认为两款产品均落入涉案专利1-6、10-14、16的保护范围，并提供了侵权比对。对此被请求人未提出实质性异议。故我局认定：型号为L218的白板笔及型号为L218+的白板笔两款产品落入涉案专利权利要求</w:t>
      </w:r>
      <w:bookmarkStart w:id="4" w:name="OLE_LINK3"/>
      <w:r>
        <w:rPr>
          <w:rFonts w:hint="eastAsia" w:ascii="华文仿宋" w:hAnsi="华文仿宋" w:eastAsia="华文仿宋" w:cs="华文仿宋"/>
          <w:color w:val="auto"/>
          <w:sz w:val="32"/>
          <w:szCs w:val="32"/>
          <w:lang w:val="en-US" w:eastAsia="zh-CN"/>
        </w:rPr>
        <w:t>1-6、10-14、16</w:t>
      </w:r>
      <w:bookmarkEnd w:id="4"/>
      <w:r>
        <w:rPr>
          <w:rFonts w:hint="eastAsia" w:ascii="华文仿宋" w:hAnsi="华文仿宋" w:eastAsia="华文仿宋" w:cs="华文仿宋"/>
          <w:color w:val="auto"/>
          <w:sz w:val="32"/>
          <w:szCs w:val="32"/>
          <w:lang w:val="en-US" w:eastAsia="zh-CN"/>
        </w:rPr>
        <w:t>的保护范围</w:t>
      </w:r>
      <w:r>
        <w:rPr>
          <w:rFonts w:hint="default" w:ascii="华文仿宋" w:hAnsi="华文仿宋" w:eastAsia="华文仿宋" w:cs="华文仿宋"/>
          <w:color w:val="auto"/>
          <w:sz w:val="32"/>
          <w:szCs w:val="32"/>
          <w:lang w:val="en-US" w:eastAsia="zh-CN"/>
        </w:rPr>
        <w:t>。</w:t>
      </w:r>
    </w:p>
    <w:p>
      <w:pPr>
        <w:ind w:firstLine="640"/>
        <w:rPr>
          <w:rFonts w:hint="default" w:ascii="华文仿宋" w:hAnsi="华文仿宋" w:eastAsia="华文仿宋" w:cs="华文仿宋"/>
          <w:color w:val="auto"/>
          <w:sz w:val="32"/>
          <w:szCs w:val="32"/>
          <w:lang w:val="en-US" w:eastAsia="zh-CN"/>
        </w:rPr>
      </w:pPr>
      <w:r>
        <w:rPr>
          <w:rFonts w:hint="eastAsia" w:ascii="华文仿宋" w:hAnsi="华文仿宋" w:eastAsia="华文仿宋" w:cs="华文仿宋"/>
          <w:color w:val="auto"/>
          <w:sz w:val="32"/>
          <w:szCs w:val="32"/>
          <w:lang w:val="en-US" w:eastAsia="zh-CN"/>
        </w:rPr>
        <w:t>关于争议焦点二，请求人认为，被请求人是被控侵权产品的制造者及销售者，被请求人认为，被控侵权产品来自慈溪市明仕达制笔厂，被请求人仅仅实施了销售及许诺销售行为，不存在制造行为，也没有用于制造产品的模具。</w:t>
      </w:r>
      <w:r>
        <w:rPr>
          <w:rFonts w:hint="default" w:ascii="华文仿宋" w:hAnsi="华文仿宋" w:eastAsia="华文仿宋" w:cs="华文仿宋"/>
          <w:color w:val="auto"/>
          <w:sz w:val="32"/>
          <w:szCs w:val="32"/>
          <w:lang w:val="en-US" w:eastAsia="zh-CN"/>
        </w:rPr>
        <w:t>我局认为，慈溪市明仕达制笔厂现场具有生产被控侵权产品的能力，且</w:t>
      </w:r>
      <w:r>
        <w:rPr>
          <w:rFonts w:hint="eastAsia" w:ascii="华文仿宋" w:hAnsi="华文仿宋" w:eastAsia="华文仿宋" w:cs="华文仿宋"/>
          <w:color w:val="auto"/>
          <w:sz w:val="32"/>
          <w:szCs w:val="32"/>
          <w:lang w:val="en-US" w:eastAsia="zh-CN"/>
        </w:rPr>
        <w:t>拥有涉案产品的一套生产模具，因此，我局推定慈溪市明仕达制笔厂是被控侵权产品的制造者。由于被请求人的主要股东陈雄明是慈溪市明仕达制笔厂的投资人，</w:t>
      </w:r>
      <w:bookmarkStart w:id="5" w:name="_GoBack"/>
      <w:bookmarkEnd w:id="5"/>
      <w:r>
        <w:rPr>
          <w:rFonts w:hint="eastAsia" w:ascii="华文仿宋" w:hAnsi="华文仿宋" w:eastAsia="华文仿宋" w:cs="华文仿宋"/>
          <w:color w:val="auto"/>
          <w:sz w:val="32"/>
          <w:szCs w:val="32"/>
          <w:lang w:val="en-US" w:eastAsia="zh-CN"/>
        </w:rPr>
        <w:t>两家企业的注册地址为慈溪市观海卫镇五里村，实际经营地址为慈溪市观海卫镇五里村西大街西段18号，经营范围均包括笔具制造。</w:t>
      </w:r>
      <w:r>
        <w:rPr>
          <w:rFonts w:hint="eastAsia" w:ascii="华文仿宋" w:hAnsi="华文仿宋" w:eastAsia="华文仿宋" w:cs="华文仿宋"/>
          <w:color w:val="auto"/>
          <w:sz w:val="32"/>
          <w:szCs w:val="32"/>
          <w:lang w:val="en-US" w:eastAsia="zh-CN"/>
        </w:rPr>
        <w:t>且微信聊天记录中“Lisa宁波拿撒勒”向请求人发送了名为“样本2021”的文件，文件中出现“CIXI MINSTOCK”字样和厂名为“慈溪市明仕达制笔厂”的图片，并在聊天记录中发送了由被请求人宁波拿撒勒制笔有限公司盖章的销售涉案产品的销售合同。被请求人陈述这两家企业实际一套成员班子，慈溪市明仕达制笔厂负责制造，宁波拿撒勒制笔有限公司负责销售，对外宣传时两个企业名义都使用过。在被请求人没有提供相反的证据情况下，我局认为上述两家企业存在制造和销售被控侵权产品的分工，构成共同侵权行为，可以认定被请求人共同实施了生产制造及销售等侵权行为。</w:t>
      </w:r>
    </w:p>
    <w:p>
      <w:pPr>
        <w:ind w:firstLine="640"/>
        <w:rPr>
          <w:rFonts w:hint="default" w:ascii="华文仿宋" w:hAnsi="华文仿宋" w:eastAsia="华文仿宋" w:cs="华文仿宋"/>
          <w:color w:val="auto"/>
          <w:sz w:val="32"/>
          <w:szCs w:val="32"/>
          <w:lang w:val="en-US" w:eastAsia="zh-CN"/>
        </w:rPr>
      </w:pPr>
      <w:r>
        <w:rPr>
          <w:rFonts w:hint="default" w:ascii="华文仿宋" w:hAnsi="华文仿宋" w:eastAsia="华文仿宋" w:cs="华文仿宋"/>
          <w:color w:val="auto"/>
          <w:sz w:val="32"/>
          <w:szCs w:val="32"/>
          <w:lang w:val="en-US" w:eastAsia="zh-CN"/>
        </w:rPr>
        <w:t>我局已经对该专利侵权纠纷进行了调解，双方无法达成一致意见。依据《中华人民共和国专利法》第十一条、第六十四、六十五条，《专利行政执法办法》第四十三条的规定，我局作出处理决定如下：</w:t>
      </w:r>
    </w:p>
    <w:p>
      <w:pPr>
        <w:ind w:firstLine="640"/>
        <w:rPr>
          <w:rFonts w:hint="default" w:ascii="华文仿宋" w:hAnsi="华文仿宋" w:eastAsia="华文仿宋" w:cs="华文仿宋"/>
          <w:color w:val="auto"/>
          <w:sz w:val="32"/>
          <w:szCs w:val="32"/>
          <w:lang w:val="en-US" w:eastAsia="zh-CN"/>
        </w:rPr>
      </w:pPr>
      <w:r>
        <w:rPr>
          <w:rFonts w:hint="default" w:ascii="华文仿宋" w:hAnsi="华文仿宋" w:eastAsia="华文仿宋" w:cs="华文仿宋"/>
          <w:color w:val="auto"/>
          <w:sz w:val="32"/>
          <w:szCs w:val="32"/>
          <w:lang w:val="en-US" w:eastAsia="zh-CN"/>
        </w:rPr>
        <w:t>被请求人构成侵犯专利号为ZL200810097132.5，名称“直液式笔具”的</w:t>
      </w:r>
      <w:r>
        <w:rPr>
          <w:rFonts w:hint="eastAsia" w:ascii="华文仿宋" w:hAnsi="华文仿宋" w:eastAsia="华文仿宋" w:cs="华文仿宋"/>
          <w:color w:val="auto"/>
          <w:sz w:val="32"/>
          <w:szCs w:val="32"/>
          <w:lang w:val="en-US" w:eastAsia="zh-CN"/>
        </w:rPr>
        <w:t>发明</w:t>
      </w:r>
      <w:r>
        <w:rPr>
          <w:rFonts w:hint="default" w:ascii="华文仿宋" w:hAnsi="华文仿宋" w:eastAsia="华文仿宋" w:cs="华文仿宋"/>
          <w:color w:val="auto"/>
          <w:sz w:val="32"/>
          <w:szCs w:val="32"/>
          <w:lang w:val="en-US" w:eastAsia="zh-CN"/>
        </w:rPr>
        <w:t>专利权。责令被请求人立即停止制造、销售、许诺销售涉案专利产品的行为，如果被请求人留存有制造侵权产品的专用设备、模具的，应立即销毁，不得销售、使用尚未售出的侵权产品或者以其他任何形式将其投放市场。</w:t>
      </w:r>
    </w:p>
    <w:p>
      <w:pPr>
        <w:ind w:firstLine="640"/>
        <w:rPr>
          <w:rFonts w:hint="default" w:ascii="华文仿宋" w:hAnsi="华文仿宋" w:eastAsia="华文仿宋" w:cs="华文仿宋"/>
          <w:color w:val="auto"/>
          <w:sz w:val="32"/>
          <w:szCs w:val="32"/>
          <w:lang w:val="en-US" w:eastAsia="zh-CN"/>
        </w:rPr>
      </w:pPr>
      <w:r>
        <w:rPr>
          <w:rFonts w:hint="default" w:ascii="华文仿宋" w:hAnsi="华文仿宋" w:eastAsia="华文仿宋" w:cs="华文仿宋"/>
          <w:color w:val="auto"/>
          <w:sz w:val="32"/>
          <w:szCs w:val="32"/>
          <w:lang w:val="en-US" w:eastAsia="zh-CN"/>
        </w:rPr>
        <w:t>双方当事人对本处理决定不服的，可根据《中华人民共和国专利法》第六十</w:t>
      </w:r>
      <w:r>
        <w:rPr>
          <w:rFonts w:hint="eastAsia" w:ascii="华文仿宋" w:hAnsi="华文仿宋" w:eastAsia="华文仿宋" w:cs="华文仿宋"/>
          <w:color w:val="auto"/>
          <w:sz w:val="32"/>
          <w:szCs w:val="32"/>
          <w:lang w:val="en-US" w:eastAsia="zh-CN"/>
        </w:rPr>
        <w:t>五</w:t>
      </w:r>
      <w:r>
        <w:rPr>
          <w:rFonts w:hint="default" w:ascii="华文仿宋" w:hAnsi="华文仿宋" w:eastAsia="华文仿宋" w:cs="华文仿宋"/>
          <w:color w:val="auto"/>
          <w:sz w:val="32"/>
          <w:szCs w:val="32"/>
          <w:lang w:val="en-US" w:eastAsia="zh-CN"/>
        </w:rPr>
        <w:t>条的规定，自收到本处理决定书之日起15日内，向浙江省宁波市中级人民法院起诉。期满不起诉又不履行行政裁决的，本局将申请人民法院强制执行。</w:t>
      </w:r>
    </w:p>
    <w:p>
      <w:pPr>
        <w:ind w:firstLine="640"/>
        <w:rPr>
          <w:rFonts w:hint="default" w:ascii="华文仿宋" w:hAnsi="华文仿宋" w:eastAsia="华文仿宋" w:cs="华文仿宋"/>
          <w:color w:val="auto"/>
          <w:sz w:val="32"/>
          <w:szCs w:val="32"/>
          <w:lang w:val="en-US" w:eastAsia="zh-CN"/>
        </w:rPr>
      </w:pPr>
    </w:p>
    <w:p>
      <w:pPr>
        <w:ind w:firstLine="640"/>
        <w:rPr>
          <w:rFonts w:hint="default" w:ascii="华文仿宋" w:hAnsi="华文仿宋" w:eastAsia="华文仿宋" w:cs="华文仿宋"/>
          <w:color w:val="auto"/>
          <w:sz w:val="32"/>
          <w:szCs w:val="32"/>
          <w:lang w:val="en-US" w:eastAsia="zh-CN"/>
        </w:rPr>
      </w:pPr>
      <w:r>
        <w:rPr>
          <w:rFonts w:hint="eastAsia" w:ascii="华文仿宋" w:hAnsi="华文仿宋" w:eastAsia="华文仿宋" w:cs="华文仿宋"/>
          <w:color w:val="auto"/>
          <w:sz w:val="32"/>
          <w:szCs w:val="32"/>
          <w:lang w:val="en-US" w:eastAsia="zh-CN"/>
        </w:rPr>
        <w:t>慈溪</w:t>
      </w:r>
      <w:r>
        <w:rPr>
          <w:rFonts w:hint="default" w:ascii="华文仿宋" w:hAnsi="华文仿宋" w:eastAsia="华文仿宋" w:cs="华文仿宋"/>
          <w:color w:val="auto"/>
          <w:sz w:val="32"/>
          <w:szCs w:val="32"/>
          <w:lang w:val="en-US" w:eastAsia="zh-CN"/>
        </w:rPr>
        <w:t>市市场监督管理局（知识产权局）</w:t>
      </w:r>
    </w:p>
    <w:p>
      <w:pPr>
        <w:ind w:firstLine="640"/>
        <w:rPr>
          <w:rFonts w:hint="default" w:ascii="华文仿宋" w:hAnsi="华文仿宋" w:eastAsia="华文仿宋" w:cs="华文仿宋"/>
          <w:color w:val="auto"/>
          <w:sz w:val="32"/>
          <w:szCs w:val="32"/>
          <w:lang w:val="en-US" w:eastAsia="zh-CN"/>
        </w:rPr>
      </w:pPr>
      <w:r>
        <w:rPr>
          <w:rFonts w:hint="default" w:ascii="华文仿宋" w:hAnsi="华文仿宋" w:eastAsia="华文仿宋" w:cs="华文仿宋"/>
          <w:color w:val="auto"/>
          <w:sz w:val="32"/>
          <w:szCs w:val="32"/>
          <w:lang w:val="en-US" w:eastAsia="zh-CN"/>
        </w:rPr>
        <w:t>地址：</w:t>
      </w:r>
      <w:r>
        <w:rPr>
          <w:rFonts w:hint="eastAsia" w:ascii="华文仿宋" w:hAnsi="华文仿宋" w:eastAsia="华文仿宋" w:cs="华文仿宋"/>
          <w:color w:val="auto"/>
          <w:sz w:val="32"/>
          <w:szCs w:val="32"/>
        </w:rPr>
        <w:t>浙江省</w:t>
      </w:r>
      <w:r>
        <w:rPr>
          <w:rFonts w:hint="eastAsia" w:ascii="华文仿宋" w:hAnsi="华文仿宋" w:eastAsia="华文仿宋" w:cs="华文仿宋"/>
          <w:color w:val="auto"/>
          <w:sz w:val="32"/>
          <w:szCs w:val="32"/>
          <w:lang w:val="en-US" w:eastAsia="zh-CN"/>
        </w:rPr>
        <w:t>慈溪市古塘街道开发大道238</w:t>
      </w:r>
      <w:r>
        <w:rPr>
          <w:rFonts w:hint="eastAsia" w:ascii="华文仿宋" w:hAnsi="华文仿宋" w:eastAsia="华文仿宋" w:cs="华文仿宋"/>
          <w:color w:val="auto"/>
          <w:sz w:val="32"/>
          <w:szCs w:val="32"/>
        </w:rPr>
        <w:t>号</w:t>
      </w:r>
    </w:p>
    <w:p>
      <w:pPr>
        <w:ind w:firstLine="640"/>
        <w:rPr>
          <w:rFonts w:hint="default" w:ascii="华文仿宋" w:hAnsi="华文仿宋" w:eastAsia="华文仿宋" w:cs="华文仿宋"/>
          <w:color w:val="auto"/>
          <w:sz w:val="32"/>
          <w:szCs w:val="32"/>
          <w:lang w:val="en-US" w:eastAsia="zh-CN"/>
        </w:rPr>
      </w:pPr>
      <w:r>
        <w:rPr>
          <w:rFonts w:hint="default" w:ascii="华文仿宋" w:hAnsi="华文仿宋" w:eastAsia="华文仿宋" w:cs="华文仿宋"/>
          <w:color w:val="auto"/>
          <w:sz w:val="32"/>
          <w:szCs w:val="32"/>
          <w:lang w:val="en-US" w:eastAsia="zh-CN"/>
        </w:rPr>
        <w:t>邮编：315</w:t>
      </w:r>
      <w:r>
        <w:rPr>
          <w:rFonts w:hint="eastAsia" w:ascii="华文仿宋" w:hAnsi="华文仿宋" w:eastAsia="华文仿宋" w:cs="华文仿宋"/>
          <w:color w:val="auto"/>
          <w:sz w:val="32"/>
          <w:szCs w:val="32"/>
          <w:lang w:val="en-US" w:eastAsia="zh-CN"/>
        </w:rPr>
        <w:t>3</w:t>
      </w:r>
      <w:r>
        <w:rPr>
          <w:rFonts w:hint="default" w:ascii="华文仿宋" w:hAnsi="华文仿宋" w:eastAsia="华文仿宋" w:cs="华文仿宋"/>
          <w:color w:val="auto"/>
          <w:sz w:val="32"/>
          <w:szCs w:val="32"/>
          <w:lang w:val="en-US" w:eastAsia="zh-CN"/>
        </w:rPr>
        <w:t>00</w:t>
      </w:r>
    </w:p>
    <w:p>
      <w:pPr>
        <w:ind w:firstLine="640"/>
        <w:rPr>
          <w:rFonts w:hint="default" w:ascii="华文仿宋" w:hAnsi="华文仿宋" w:eastAsia="华文仿宋" w:cs="华文仿宋"/>
          <w:color w:val="auto"/>
          <w:sz w:val="32"/>
          <w:szCs w:val="32"/>
          <w:lang w:val="en-US" w:eastAsia="zh-CN"/>
        </w:rPr>
      </w:pPr>
      <w:r>
        <w:rPr>
          <w:rFonts w:hint="default" w:ascii="华文仿宋" w:hAnsi="华文仿宋" w:eastAsia="华文仿宋" w:cs="华文仿宋"/>
          <w:color w:val="auto"/>
          <w:sz w:val="32"/>
          <w:szCs w:val="32"/>
          <w:lang w:val="en-US" w:eastAsia="zh-CN"/>
        </w:rPr>
        <w:t>联系电话：0574-</w:t>
      </w:r>
      <w:r>
        <w:rPr>
          <w:rFonts w:hint="eastAsia" w:ascii="华文仿宋" w:hAnsi="华文仿宋" w:eastAsia="华文仿宋" w:cs="华文仿宋"/>
          <w:color w:val="auto"/>
          <w:sz w:val="32"/>
          <w:szCs w:val="32"/>
          <w:lang w:val="en-US" w:eastAsia="zh-CN"/>
        </w:rPr>
        <w:t>63026415</w:t>
      </w:r>
    </w:p>
    <w:p>
      <w:pPr>
        <w:ind w:firstLine="640"/>
        <w:rPr>
          <w:rFonts w:hint="eastAsia" w:ascii="华文仿宋" w:hAnsi="华文仿宋" w:eastAsia="华文仿宋" w:cs="华文仿宋"/>
          <w:color w:val="auto"/>
          <w:sz w:val="32"/>
          <w:szCs w:val="32"/>
          <w:lang w:val="en-US" w:eastAsia="zh-CN"/>
        </w:rPr>
      </w:pPr>
      <w:r>
        <w:rPr>
          <w:rFonts w:hint="default" w:ascii="华文仿宋" w:hAnsi="华文仿宋" w:eastAsia="华文仿宋" w:cs="华文仿宋"/>
          <w:color w:val="auto"/>
          <w:sz w:val="32"/>
          <w:szCs w:val="32"/>
          <w:lang w:val="en-US" w:eastAsia="zh-CN"/>
        </w:rPr>
        <w:t>合议组长：</w:t>
      </w:r>
      <w:r>
        <w:rPr>
          <w:rFonts w:hint="eastAsia" w:ascii="华文仿宋" w:hAnsi="华文仿宋" w:eastAsia="华文仿宋" w:cs="华文仿宋"/>
          <w:color w:val="auto"/>
          <w:sz w:val="32"/>
          <w:szCs w:val="32"/>
          <w:lang w:val="en-US" w:eastAsia="zh-CN"/>
        </w:rPr>
        <w:t>叶向阳</w:t>
      </w:r>
    </w:p>
    <w:p>
      <w:pPr>
        <w:ind w:firstLine="640"/>
        <w:rPr>
          <w:rFonts w:hint="default" w:ascii="华文仿宋" w:hAnsi="华文仿宋" w:eastAsia="华文仿宋" w:cs="华文仿宋"/>
          <w:color w:val="auto"/>
          <w:sz w:val="32"/>
          <w:szCs w:val="32"/>
          <w:lang w:val="en-US" w:eastAsia="zh-CN"/>
        </w:rPr>
      </w:pPr>
      <w:r>
        <w:rPr>
          <w:rFonts w:hint="default" w:ascii="华文仿宋" w:hAnsi="华文仿宋" w:eastAsia="华文仿宋" w:cs="华文仿宋"/>
          <w:color w:val="auto"/>
          <w:sz w:val="32"/>
          <w:szCs w:val="32"/>
          <w:lang w:val="en-US" w:eastAsia="zh-CN"/>
        </w:rPr>
        <w:t>审 理 员：</w:t>
      </w:r>
      <w:r>
        <w:rPr>
          <w:rFonts w:hint="eastAsia" w:ascii="华文仿宋" w:hAnsi="华文仿宋" w:eastAsia="华文仿宋" w:cs="华文仿宋"/>
          <w:color w:val="auto"/>
          <w:sz w:val="32"/>
          <w:szCs w:val="32"/>
          <w:lang w:val="en-US" w:eastAsia="zh-CN"/>
        </w:rPr>
        <w:t>胡东映</w:t>
      </w:r>
    </w:p>
    <w:p>
      <w:pPr>
        <w:ind w:firstLine="640"/>
        <w:rPr>
          <w:rFonts w:hint="default" w:ascii="华文仿宋" w:hAnsi="华文仿宋" w:eastAsia="华文仿宋" w:cs="华文仿宋"/>
          <w:color w:val="auto"/>
          <w:sz w:val="32"/>
          <w:szCs w:val="32"/>
          <w:lang w:val="en-US" w:eastAsia="zh-CN"/>
        </w:rPr>
      </w:pPr>
      <w:r>
        <w:rPr>
          <w:rFonts w:hint="default" w:ascii="华文仿宋" w:hAnsi="华文仿宋" w:eastAsia="华文仿宋" w:cs="华文仿宋"/>
          <w:color w:val="auto"/>
          <w:sz w:val="32"/>
          <w:szCs w:val="32"/>
          <w:lang w:val="en-US" w:eastAsia="zh-CN"/>
        </w:rPr>
        <w:t>审 理 员：</w:t>
      </w:r>
      <w:r>
        <w:rPr>
          <w:rFonts w:hint="eastAsia" w:ascii="华文仿宋" w:hAnsi="华文仿宋" w:eastAsia="华文仿宋" w:cs="华文仿宋"/>
          <w:color w:val="auto"/>
          <w:sz w:val="32"/>
          <w:szCs w:val="32"/>
          <w:lang w:val="en-US" w:eastAsia="zh-CN"/>
        </w:rPr>
        <w:t>罗雨洁</w:t>
      </w:r>
    </w:p>
    <w:p>
      <w:pPr>
        <w:ind w:firstLine="640"/>
        <w:rPr>
          <w:rFonts w:hint="default" w:ascii="华文仿宋" w:hAnsi="华文仿宋" w:eastAsia="华文仿宋" w:cs="华文仿宋"/>
          <w:color w:val="auto"/>
          <w:sz w:val="32"/>
          <w:szCs w:val="32"/>
          <w:lang w:val="en-US" w:eastAsia="zh-CN"/>
        </w:rPr>
      </w:pPr>
      <w:r>
        <w:rPr>
          <w:rFonts w:hint="default" w:ascii="华文仿宋" w:hAnsi="华文仿宋" w:eastAsia="华文仿宋" w:cs="华文仿宋"/>
          <w:color w:val="auto"/>
          <w:sz w:val="32"/>
          <w:szCs w:val="32"/>
          <w:lang w:val="en-US" w:eastAsia="zh-CN"/>
        </w:rPr>
        <w:t>书 记 员：</w:t>
      </w:r>
      <w:r>
        <w:rPr>
          <w:rFonts w:hint="eastAsia" w:ascii="华文仿宋" w:hAnsi="华文仿宋" w:eastAsia="华文仿宋" w:cs="华文仿宋"/>
          <w:color w:val="auto"/>
          <w:sz w:val="32"/>
          <w:szCs w:val="32"/>
          <w:lang w:val="en-US" w:eastAsia="zh-CN"/>
        </w:rPr>
        <w:t>杨子慧</w:t>
      </w:r>
    </w:p>
    <w:p>
      <w:pPr>
        <w:ind w:firstLine="3846" w:firstLineChars="1202"/>
        <w:rPr>
          <w:rFonts w:hint="default" w:ascii="华文仿宋" w:hAnsi="华文仿宋" w:eastAsia="华文仿宋" w:cs="华文仿宋"/>
          <w:color w:val="auto"/>
          <w:sz w:val="32"/>
          <w:szCs w:val="32"/>
          <w:lang w:val="en-US" w:eastAsia="zh-CN"/>
        </w:rPr>
      </w:pPr>
      <w:r>
        <w:rPr>
          <w:rFonts w:hint="eastAsia" w:ascii="华文仿宋" w:hAnsi="华文仿宋" w:eastAsia="华文仿宋" w:cs="华文仿宋"/>
          <w:color w:val="auto"/>
          <w:sz w:val="32"/>
          <w:szCs w:val="32"/>
          <w:lang w:val="en-US" w:eastAsia="zh-CN"/>
        </w:rPr>
        <w:t>慈溪市</w:t>
      </w:r>
      <w:r>
        <w:rPr>
          <w:rFonts w:hint="default" w:ascii="华文仿宋" w:hAnsi="华文仿宋" w:eastAsia="华文仿宋" w:cs="华文仿宋"/>
          <w:color w:val="auto"/>
          <w:sz w:val="32"/>
          <w:szCs w:val="32"/>
          <w:lang w:val="en-US" w:eastAsia="zh-CN"/>
        </w:rPr>
        <w:t>知识产权局（盖章）</w:t>
      </w:r>
    </w:p>
    <w:p>
      <w:pPr>
        <w:ind w:firstLine="4166" w:firstLineChars="1302"/>
        <w:rPr>
          <w:rFonts w:hint="default" w:ascii="华文仿宋" w:hAnsi="华文仿宋" w:eastAsia="华文仿宋" w:cs="华文仿宋"/>
          <w:color w:val="auto"/>
          <w:sz w:val="32"/>
          <w:szCs w:val="32"/>
          <w:lang w:val="en-US" w:eastAsia="zh-CN"/>
        </w:rPr>
      </w:pPr>
      <w:r>
        <w:rPr>
          <w:rFonts w:hint="default" w:ascii="华文仿宋" w:hAnsi="华文仿宋" w:eastAsia="华文仿宋" w:cs="华文仿宋"/>
          <w:color w:val="auto"/>
          <w:sz w:val="32"/>
          <w:szCs w:val="32"/>
          <w:lang w:val="en-US" w:eastAsia="zh-CN"/>
        </w:rPr>
        <w:t>202</w:t>
      </w:r>
      <w:r>
        <w:rPr>
          <w:rFonts w:hint="eastAsia" w:ascii="华文仿宋" w:hAnsi="华文仿宋" w:eastAsia="华文仿宋" w:cs="华文仿宋"/>
          <w:color w:val="auto"/>
          <w:sz w:val="32"/>
          <w:szCs w:val="32"/>
          <w:lang w:val="en-US" w:eastAsia="zh-CN"/>
        </w:rPr>
        <w:t>5</w:t>
      </w:r>
      <w:r>
        <w:rPr>
          <w:rFonts w:hint="default" w:ascii="华文仿宋" w:hAnsi="华文仿宋" w:eastAsia="华文仿宋" w:cs="华文仿宋"/>
          <w:color w:val="auto"/>
          <w:sz w:val="32"/>
          <w:szCs w:val="32"/>
          <w:lang w:val="en-US" w:eastAsia="zh-CN"/>
        </w:rPr>
        <w:t>年</w:t>
      </w:r>
      <w:r>
        <w:rPr>
          <w:rFonts w:hint="eastAsia" w:ascii="华文仿宋" w:hAnsi="华文仿宋" w:eastAsia="华文仿宋" w:cs="华文仿宋"/>
          <w:color w:val="auto"/>
          <w:sz w:val="32"/>
          <w:szCs w:val="32"/>
          <w:lang w:val="en-US" w:eastAsia="zh-CN"/>
        </w:rPr>
        <w:t>1</w:t>
      </w:r>
      <w:r>
        <w:rPr>
          <w:rFonts w:hint="default" w:ascii="华文仿宋" w:hAnsi="华文仿宋" w:eastAsia="华文仿宋" w:cs="华文仿宋"/>
          <w:color w:val="auto"/>
          <w:sz w:val="32"/>
          <w:szCs w:val="32"/>
          <w:lang w:val="en-US" w:eastAsia="zh-CN"/>
        </w:rPr>
        <w:t>月</w:t>
      </w:r>
      <w:r>
        <w:rPr>
          <w:rFonts w:hint="eastAsia" w:ascii="华文仿宋" w:hAnsi="华文仿宋" w:eastAsia="华文仿宋" w:cs="华文仿宋"/>
          <w:color w:val="auto"/>
          <w:sz w:val="32"/>
          <w:szCs w:val="32"/>
          <w:lang w:val="en-US" w:eastAsia="zh-CN"/>
        </w:rPr>
        <w:t>6</w:t>
      </w:r>
      <w:r>
        <w:rPr>
          <w:rFonts w:hint="default" w:ascii="华文仿宋" w:hAnsi="华文仿宋" w:eastAsia="华文仿宋" w:cs="华文仿宋"/>
          <w:color w:val="auto"/>
          <w:sz w:val="32"/>
          <w:szCs w:val="32"/>
          <w:lang w:val="en-US" w:eastAsia="zh-CN"/>
        </w:rPr>
        <w:t>日</w:t>
      </w:r>
    </w:p>
    <w:p>
      <w:pPr>
        <w:rPr>
          <w:rFonts w:hint="eastAsia" w:ascii="华文仿宋" w:hAnsi="华文仿宋" w:eastAsia="华文仿宋" w:cs="华文仿宋"/>
          <w:color w:val="auto"/>
          <w:sz w:val="32"/>
          <w:szCs w:val="32"/>
        </w:rPr>
      </w:pPr>
      <w:r>
        <w:rPr>
          <w:rFonts w:hint="eastAsia" w:ascii="华文仿宋" w:hAnsi="华文仿宋" w:eastAsia="华文仿宋" w:cs="华文仿宋"/>
          <w:color w:val="auto"/>
          <w:sz w:val="32"/>
          <w:szCs w:val="32"/>
        </w:rPr>
        <w:br w:type="page"/>
      </w:r>
    </w:p>
    <w:p>
      <w:pPr>
        <w:rPr>
          <w:rFonts w:hint="eastAsia" w:ascii="华文仿宋" w:hAnsi="华文仿宋" w:eastAsia="华文仿宋" w:cs="华文仿宋"/>
          <w:color w:val="auto"/>
          <w:sz w:val="32"/>
          <w:szCs w:val="32"/>
        </w:rPr>
      </w:pPr>
      <w:r>
        <w:rPr>
          <w:rFonts w:hint="eastAsia" w:ascii="华文仿宋" w:hAnsi="华文仿宋" w:eastAsia="华文仿宋" w:cs="华文仿宋"/>
          <w:color w:val="auto"/>
          <w:sz w:val="32"/>
          <w:szCs w:val="32"/>
        </w:rPr>
        <w:t xml:space="preserve">附法律法规：                                    </w:t>
      </w:r>
    </w:p>
    <w:p>
      <w:pPr>
        <w:rPr>
          <w:rFonts w:hint="eastAsia" w:ascii="华文仿宋" w:hAnsi="华文仿宋" w:eastAsia="华文仿宋" w:cs="华文仿宋"/>
          <w:b/>
          <w:bCs/>
          <w:color w:val="auto"/>
          <w:sz w:val="32"/>
          <w:szCs w:val="32"/>
        </w:rPr>
      </w:pPr>
      <w:r>
        <w:rPr>
          <w:rFonts w:hint="eastAsia" w:ascii="华文仿宋" w:hAnsi="华文仿宋" w:eastAsia="华文仿宋" w:cs="华文仿宋"/>
          <w:b/>
          <w:bCs/>
          <w:color w:val="auto"/>
          <w:sz w:val="32"/>
          <w:szCs w:val="32"/>
        </w:rPr>
        <w:t>中华人民共和国专利法第十一条：</w:t>
      </w:r>
    </w:p>
    <w:p>
      <w:pPr>
        <w:ind w:firstLine="640" w:firstLineChars="200"/>
        <w:rPr>
          <w:rFonts w:hint="eastAsia" w:ascii="华文仿宋" w:hAnsi="华文仿宋" w:eastAsia="华文仿宋" w:cs="华文仿宋"/>
          <w:color w:val="auto"/>
          <w:sz w:val="32"/>
          <w:szCs w:val="32"/>
        </w:rPr>
      </w:pPr>
      <w:r>
        <w:rPr>
          <w:rFonts w:hint="eastAsia" w:ascii="华文仿宋" w:hAnsi="华文仿宋" w:eastAsia="华文仿宋" w:cs="华文仿宋"/>
          <w:color w:val="auto"/>
          <w:sz w:val="32"/>
          <w:szCs w:val="32"/>
        </w:rPr>
        <w:t>发明和实用新型专利权被授予后，除本法另有规定的以外，任何单位或者个人未经专利权人许可，都不得实施其专利，即不得为生产经营目的制造、使用、许诺销售、销售、进口其专利产品，或者使用其专利方法以及使用、许诺销售、销售、进口依照该专利方法直接获得的产品。</w:t>
      </w:r>
    </w:p>
    <w:p>
      <w:pPr>
        <w:ind w:firstLine="640" w:firstLineChars="200"/>
        <w:rPr>
          <w:rFonts w:hint="eastAsia" w:ascii="华文仿宋" w:hAnsi="华文仿宋" w:eastAsia="华文仿宋" w:cs="华文仿宋"/>
          <w:color w:val="auto"/>
          <w:sz w:val="32"/>
          <w:szCs w:val="32"/>
        </w:rPr>
      </w:pPr>
      <w:r>
        <w:rPr>
          <w:rFonts w:hint="eastAsia" w:ascii="华文仿宋" w:hAnsi="华文仿宋" w:eastAsia="华文仿宋" w:cs="华文仿宋"/>
          <w:color w:val="auto"/>
          <w:sz w:val="32"/>
          <w:szCs w:val="32"/>
          <w:lang w:eastAsia="zh-CN"/>
        </w:rPr>
        <w:t>外观设计</w:t>
      </w:r>
      <w:r>
        <w:rPr>
          <w:rFonts w:hint="eastAsia" w:ascii="华文仿宋" w:hAnsi="华文仿宋" w:eastAsia="华文仿宋" w:cs="华文仿宋"/>
          <w:color w:val="auto"/>
          <w:sz w:val="32"/>
          <w:szCs w:val="32"/>
        </w:rPr>
        <w:t>专利权被授予后，任何单位或者个人未经专利权人许可，都不得实施其专利，即不得为生产经营目的制造、许诺销售、销售、进口其</w:t>
      </w:r>
      <w:r>
        <w:rPr>
          <w:rFonts w:hint="eastAsia" w:ascii="华文仿宋" w:hAnsi="华文仿宋" w:eastAsia="华文仿宋" w:cs="华文仿宋"/>
          <w:color w:val="auto"/>
          <w:sz w:val="32"/>
          <w:szCs w:val="32"/>
          <w:lang w:eastAsia="zh-CN"/>
        </w:rPr>
        <w:t>外观设计</w:t>
      </w:r>
      <w:r>
        <w:rPr>
          <w:rFonts w:hint="eastAsia" w:ascii="华文仿宋" w:hAnsi="华文仿宋" w:eastAsia="华文仿宋" w:cs="华文仿宋"/>
          <w:color w:val="auto"/>
          <w:sz w:val="32"/>
          <w:szCs w:val="32"/>
        </w:rPr>
        <w:t>专利产品。</w:t>
      </w:r>
    </w:p>
    <w:p>
      <w:pPr>
        <w:rPr>
          <w:rFonts w:hint="eastAsia" w:ascii="华文仿宋" w:hAnsi="华文仿宋" w:eastAsia="华文仿宋" w:cs="华文仿宋"/>
          <w:b/>
          <w:bCs/>
          <w:color w:val="auto"/>
          <w:sz w:val="32"/>
          <w:szCs w:val="32"/>
        </w:rPr>
      </w:pPr>
      <w:r>
        <w:rPr>
          <w:rFonts w:hint="eastAsia" w:ascii="华文仿宋" w:hAnsi="华文仿宋" w:eastAsia="华文仿宋" w:cs="华文仿宋"/>
          <w:b/>
          <w:bCs/>
          <w:color w:val="auto"/>
          <w:sz w:val="32"/>
          <w:szCs w:val="32"/>
        </w:rPr>
        <w:t>中华人民共和国专利法第六十四条：</w:t>
      </w:r>
    </w:p>
    <w:p>
      <w:pPr>
        <w:ind w:firstLine="640" w:firstLineChars="200"/>
        <w:rPr>
          <w:rFonts w:hint="eastAsia" w:ascii="华文仿宋" w:hAnsi="华文仿宋" w:eastAsia="华文仿宋" w:cs="华文仿宋"/>
          <w:color w:val="auto"/>
          <w:sz w:val="32"/>
          <w:szCs w:val="32"/>
        </w:rPr>
      </w:pPr>
      <w:r>
        <w:rPr>
          <w:rFonts w:hint="eastAsia" w:ascii="华文仿宋" w:hAnsi="华文仿宋" w:eastAsia="华文仿宋" w:cs="华文仿宋"/>
          <w:color w:val="auto"/>
          <w:sz w:val="32"/>
          <w:szCs w:val="32"/>
        </w:rPr>
        <w:t>发明或者实用新型专利权的保护范围以其权利要求的内容为准，说明书及附图可以用于解释权利要求的内容。</w:t>
      </w:r>
    </w:p>
    <w:p>
      <w:pPr>
        <w:ind w:firstLine="640" w:firstLineChars="200"/>
        <w:rPr>
          <w:rFonts w:hint="eastAsia" w:ascii="华文仿宋" w:hAnsi="华文仿宋" w:eastAsia="华文仿宋" w:cs="华文仿宋"/>
          <w:color w:val="auto"/>
          <w:sz w:val="32"/>
          <w:szCs w:val="32"/>
        </w:rPr>
      </w:pPr>
      <w:r>
        <w:rPr>
          <w:rFonts w:hint="eastAsia" w:ascii="华文仿宋" w:hAnsi="华文仿宋" w:eastAsia="华文仿宋" w:cs="华文仿宋"/>
          <w:color w:val="auto"/>
          <w:sz w:val="32"/>
          <w:szCs w:val="32"/>
          <w:lang w:eastAsia="zh-CN"/>
        </w:rPr>
        <w:t>外观设计</w:t>
      </w:r>
      <w:r>
        <w:rPr>
          <w:rFonts w:hint="eastAsia" w:ascii="华文仿宋" w:hAnsi="华文仿宋" w:eastAsia="华文仿宋" w:cs="华文仿宋"/>
          <w:color w:val="auto"/>
          <w:sz w:val="32"/>
          <w:szCs w:val="32"/>
        </w:rPr>
        <w:t>专利权的保护范围以表示在图片或者照片中的该产品的</w:t>
      </w:r>
      <w:r>
        <w:rPr>
          <w:rFonts w:hint="eastAsia" w:ascii="华文仿宋" w:hAnsi="华文仿宋" w:eastAsia="华文仿宋" w:cs="华文仿宋"/>
          <w:color w:val="auto"/>
          <w:sz w:val="32"/>
          <w:szCs w:val="32"/>
          <w:lang w:eastAsia="zh-CN"/>
        </w:rPr>
        <w:t>外观设计</w:t>
      </w:r>
      <w:r>
        <w:rPr>
          <w:rFonts w:hint="eastAsia" w:ascii="华文仿宋" w:hAnsi="华文仿宋" w:eastAsia="华文仿宋" w:cs="华文仿宋"/>
          <w:color w:val="auto"/>
          <w:sz w:val="32"/>
          <w:szCs w:val="32"/>
        </w:rPr>
        <w:t>为准，简要说明可以用于解释图片或者照片所表示的该产品的</w:t>
      </w:r>
      <w:r>
        <w:rPr>
          <w:rFonts w:hint="eastAsia" w:ascii="华文仿宋" w:hAnsi="华文仿宋" w:eastAsia="华文仿宋" w:cs="华文仿宋"/>
          <w:color w:val="auto"/>
          <w:sz w:val="32"/>
          <w:szCs w:val="32"/>
          <w:lang w:eastAsia="zh-CN"/>
        </w:rPr>
        <w:t>外观设计</w:t>
      </w:r>
      <w:r>
        <w:rPr>
          <w:rFonts w:hint="eastAsia" w:ascii="华文仿宋" w:hAnsi="华文仿宋" w:eastAsia="华文仿宋" w:cs="华文仿宋"/>
          <w:color w:val="auto"/>
          <w:sz w:val="32"/>
          <w:szCs w:val="32"/>
        </w:rPr>
        <w:t>。</w:t>
      </w:r>
    </w:p>
    <w:p>
      <w:pPr>
        <w:rPr>
          <w:rFonts w:hint="eastAsia" w:ascii="华文仿宋" w:hAnsi="华文仿宋" w:eastAsia="华文仿宋" w:cs="华文仿宋"/>
          <w:b/>
          <w:bCs/>
          <w:color w:val="auto"/>
          <w:sz w:val="32"/>
          <w:szCs w:val="32"/>
        </w:rPr>
      </w:pPr>
      <w:r>
        <w:rPr>
          <w:rFonts w:hint="eastAsia" w:ascii="华文仿宋" w:hAnsi="华文仿宋" w:eastAsia="华文仿宋" w:cs="华文仿宋"/>
          <w:b/>
          <w:bCs/>
          <w:color w:val="auto"/>
          <w:sz w:val="32"/>
          <w:szCs w:val="32"/>
        </w:rPr>
        <w:t>中华人民共和国专利法第六十五条：</w:t>
      </w:r>
    </w:p>
    <w:p>
      <w:pPr>
        <w:ind w:firstLine="640" w:firstLineChars="200"/>
        <w:rPr>
          <w:rFonts w:hint="eastAsia" w:ascii="华文仿宋" w:hAnsi="华文仿宋" w:eastAsia="华文仿宋" w:cs="华文仿宋"/>
          <w:color w:val="auto"/>
          <w:sz w:val="32"/>
          <w:szCs w:val="32"/>
        </w:rPr>
      </w:pPr>
      <w:r>
        <w:rPr>
          <w:rFonts w:hint="eastAsia" w:ascii="华文仿宋" w:hAnsi="华文仿宋" w:eastAsia="华文仿宋" w:cs="华文仿宋"/>
          <w:color w:val="auto"/>
          <w:sz w:val="32"/>
          <w:szCs w:val="32"/>
        </w:rPr>
        <w:t>未经专利权人许可，实施其专利，即侵犯其专利权，引起纠纷的，由当事人协商解决；不愿协商或者协商不成的，专利权人或者利害关系人可以向人民法院起诉，也可以请求管理专利工作的部门处理。管理专利工作的部门处理时，认定侵权行为成立的，可以责令侵权人立即停止侵权行为，当事人不服的，可以自收到处理通知之日起十五日内依照《中华人民共和国行政诉讼法》向人民法院起诉；侵权人期满不起诉又不停止侵权行为的，管理专利工作的部门可以申请人民法院强制执行。进行处理的管理专利工作的部门应当事人的请求，可以就侵犯专利权的赔偿数额进行调解；调解不成的，当事人可以依照《中华人民共和国民事诉讼法》向人民法院起诉。</w:t>
      </w:r>
    </w:p>
    <w:p>
      <w:pPr>
        <w:rPr>
          <w:rFonts w:hint="eastAsia" w:ascii="华文仿宋" w:hAnsi="华文仿宋" w:eastAsia="华文仿宋" w:cs="华文仿宋"/>
          <w:color w:val="auto"/>
          <w:sz w:val="32"/>
          <w:szCs w:val="32"/>
        </w:rPr>
      </w:pPr>
      <w:r>
        <w:rPr>
          <w:rFonts w:hint="eastAsia" w:ascii="华文仿宋" w:hAnsi="华文仿宋" w:eastAsia="华文仿宋" w:cs="华文仿宋"/>
          <w:b/>
          <w:bCs/>
          <w:color w:val="auto"/>
          <w:sz w:val="32"/>
          <w:szCs w:val="32"/>
        </w:rPr>
        <w:t>国家知识产权局专利行政执法办法第四十三条：</w:t>
      </w:r>
      <w:r>
        <w:rPr>
          <w:rFonts w:hint="eastAsia" w:ascii="华文仿宋" w:hAnsi="华文仿宋" w:eastAsia="华文仿宋" w:cs="华文仿宋"/>
          <w:color w:val="auto"/>
          <w:sz w:val="32"/>
          <w:szCs w:val="32"/>
        </w:rPr>
        <w:t xml:space="preserve"> </w:t>
      </w:r>
    </w:p>
    <w:p>
      <w:pPr>
        <w:ind w:firstLine="640" w:firstLineChars="200"/>
        <w:rPr>
          <w:rFonts w:hint="eastAsia" w:ascii="华文仿宋" w:hAnsi="华文仿宋" w:eastAsia="华文仿宋" w:cs="华文仿宋"/>
          <w:color w:val="auto"/>
          <w:sz w:val="32"/>
          <w:szCs w:val="32"/>
        </w:rPr>
      </w:pPr>
      <w:r>
        <w:rPr>
          <w:rFonts w:hint="eastAsia" w:ascii="华文仿宋" w:hAnsi="华文仿宋" w:eastAsia="华文仿宋" w:cs="华文仿宋"/>
          <w:color w:val="auto"/>
          <w:sz w:val="32"/>
          <w:szCs w:val="32"/>
        </w:rPr>
        <w:t>管理专利工作的部门认定专利侵权行为成立，作出处理决定，责令侵权人立即停止侵权行为的，应当采取下列制止侵权行为的措施：</w:t>
      </w:r>
    </w:p>
    <w:p>
      <w:pPr>
        <w:ind w:firstLine="640" w:firstLineChars="200"/>
        <w:rPr>
          <w:rFonts w:hint="eastAsia" w:ascii="华文仿宋" w:hAnsi="华文仿宋" w:eastAsia="华文仿宋" w:cs="华文仿宋"/>
          <w:color w:val="auto"/>
          <w:sz w:val="32"/>
          <w:szCs w:val="32"/>
        </w:rPr>
      </w:pPr>
      <w:r>
        <w:rPr>
          <w:rFonts w:hint="eastAsia" w:ascii="华文仿宋" w:hAnsi="华文仿宋" w:eastAsia="华文仿宋" w:cs="华文仿宋"/>
          <w:color w:val="auto"/>
          <w:sz w:val="32"/>
          <w:szCs w:val="32"/>
        </w:rPr>
        <w:t>（一）侵权人制造专利侵权产品的，责令其立即停止制造行为，销毁制造侵权产品的专用设备、模具，并且不得销售、使用尚未售出的侵权产品或者以任何其他形式将其投放市场；侵权产品难以保存的，责令侵权人销毁该产品；</w:t>
      </w:r>
    </w:p>
    <w:p>
      <w:pPr>
        <w:ind w:firstLine="640" w:firstLineChars="200"/>
        <w:rPr>
          <w:rFonts w:hint="eastAsia" w:ascii="华文仿宋" w:hAnsi="华文仿宋" w:eastAsia="华文仿宋" w:cs="华文仿宋"/>
          <w:color w:val="auto"/>
          <w:sz w:val="32"/>
          <w:szCs w:val="32"/>
        </w:rPr>
      </w:pPr>
      <w:r>
        <w:rPr>
          <w:rFonts w:hint="eastAsia" w:ascii="华文仿宋" w:hAnsi="华文仿宋" w:eastAsia="华文仿宋" w:cs="华文仿宋"/>
          <w:color w:val="auto"/>
          <w:sz w:val="32"/>
          <w:szCs w:val="32"/>
        </w:rPr>
        <w:t>（二）侵权人未经专利权人许可使用专利方法的，责令侵权人立即停止使用行为，销毁实施专利方法的专用设备、模具，并且不得销售、使用尚未售出的依照专利方法所直接获得的侵权产品或者以任何其他形式将其投放市场；侵权产品难以保存的，责令侵权人销毁该产品；</w:t>
      </w:r>
    </w:p>
    <w:p>
      <w:pPr>
        <w:ind w:firstLine="640" w:firstLineChars="200"/>
        <w:rPr>
          <w:rFonts w:hint="eastAsia" w:ascii="华文仿宋" w:hAnsi="华文仿宋" w:eastAsia="华文仿宋" w:cs="华文仿宋"/>
          <w:color w:val="auto"/>
          <w:sz w:val="32"/>
          <w:szCs w:val="32"/>
        </w:rPr>
      </w:pPr>
      <w:r>
        <w:rPr>
          <w:rFonts w:hint="eastAsia" w:ascii="华文仿宋" w:hAnsi="华文仿宋" w:eastAsia="华文仿宋" w:cs="华文仿宋"/>
          <w:color w:val="auto"/>
          <w:sz w:val="32"/>
          <w:szCs w:val="32"/>
        </w:rPr>
        <w:t>（三）侵权人销售专利侵权产品或者依照专利方法直接获得的侵权产品的，责令其立即停止销售行为，并且不得使用尚未售出的侵权产品或者以任何其他形式将其投放市场；尚未售出的侵权产品难以保存的，责令侵权人销毁该产品；</w:t>
      </w:r>
    </w:p>
    <w:p>
      <w:pPr>
        <w:ind w:firstLine="640" w:firstLineChars="200"/>
        <w:rPr>
          <w:rFonts w:hint="eastAsia" w:ascii="华文仿宋" w:hAnsi="华文仿宋" w:eastAsia="华文仿宋" w:cs="华文仿宋"/>
          <w:color w:val="auto"/>
          <w:sz w:val="32"/>
          <w:szCs w:val="32"/>
        </w:rPr>
      </w:pPr>
      <w:r>
        <w:rPr>
          <w:rFonts w:hint="eastAsia" w:ascii="华文仿宋" w:hAnsi="华文仿宋" w:eastAsia="华文仿宋" w:cs="华文仿宋"/>
          <w:color w:val="auto"/>
          <w:sz w:val="32"/>
          <w:szCs w:val="32"/>
        </w:rPr>
        <w:t>（四）侵权人许诺销售专利侵权产品或者依照专利方法直接获得的侵权产品的，责令其立即停止许诺销售行为，消除影响，并且不得进行任何实际销售行为；</w:t>
      </w:r>
    </w:p>
    <w:p>
      <w:pPr>
        <w:ind w:firstLine="640" w:firstLineChars="200"/>
        <w:rPr>
          <w:rFonts w:hint="eastAsia" w:ascii="华文仿宋" w:hAnsi="华文仿宋" w:eastAsia="华文仿宋" w:cs="华文仿宋"/>
          <w:color w:val="auto"/>
          <w:sz w:val="32"/>
          <w:szCs w:val="32"/>
        </w:rPr>
      </w:pPr>
      <w:r>
        <w:rPr>
          <w:rFonts w:hint="eastAsia" w:ascii="华文仿宋" w:hAnsi="华文仿宋" w:eastAsia="华文仿宋" w:cs="华文仿宋"/>
          <w:color w:val="auto"/>
          <w:sz w:val="32"/>
          <w:szCs w:val="32"/>
        </w:rPr>
        <w:t>（五）侵权人进口专利侵权产品或者依照专利方法直接获得的侵权产品的，责令侵权人立即停止进口行为；侵权产品已经入境的，不得销售、使用该侵权产品或者以任何其他形式将其投放市场；侵权产品难以保存的，责令侵权人销毁该产品；侵权产品尚未入境的，可以将处理决定通知有关海关；</w:t>
      </w:r>
    </w:p>
    <w:p>
      <w:pPr>
        <w:ind w:firstLine="640" w:firstLineChars="200"/>
        <w:rPr>
          <w:rFonts w:hint="eastAsia" w:ascii="华文仿宋" w:hAnsi="华文仿宋" w:eastAsia="华文仿宋" w:cs="华文仿宋"/>
          <w:color w:val="auto"/>
          <w:sz w:val="32"/>
          <w:szCs w:val="32"/>
        </w:rPr>
      </w:pPr>
      <w:r>
        <w:rPr>
          <w:rFonts w:hint="eastAsia" w:ascii="华文仿宋" w:hAnsi="华文仿宋" w:eastAsia="华文仿宋" w:cs="华文仿宋"/>
          <w:color w:val="auto"/>
          <w:sz w:val="32"/>
          <w:szCs w:val="32"/>
        </w:rPr>
        <w:t>（六）责令侵权的参展方采取从展会上撤出侵权展品、销毁或者封存相应的宣传材料、更换或遮盖相应的展板等撤展措施；</w:t>
      </w:r>
    </w:p>
    <w:p>
      <w:pPr>
        <w:ind w:firstLine="640" w:firstLineChars="200"/>
        <w:rPr>
          <w:rFonts w:hint="eastAsia" w:ascii="华文仿宋" w:hAnsi="华文仿宋" w:eastAsia="华文仿宋" w:cs="华文仿宋"/>
          <w:color w:val="auto"/>
          <w:sz w:val="32"/>
          <w:szCs w:val="32"/>
        </w:rPr>
        <w:sectPr>
          <w:footerReference r:id="rId3" w:type="default"/>
          <w:pgSz w:w="11906" w:h="16838"/>
          <w:pgMar w:top="1440" w:right="1800" w:bottom="1440" w:left="1800" w:header="851" w:footer="992" w:gutter="0"/>
          <w:pgNumType w:fmt="decimal"/>
          <w:cols w:space="425" w:num="1"/>
          <w:docGrid w:type="lines" w:linePitch="312" w:charSpace="0"/>
        </w:sectPr>
      </w:pPr>
      <w:r>
        <w:rPr>
          <w:rFonts w:hint="eastAsia" w:ascii="华文仿宋" w:hAnsi="华文仿宋" w:eastAsia="华文仿宋" w:cs="华文仿宋"/>
          <w:color w:val="auto"/>
          <w:sz w:val="32"/>
          <w:szCs w:val="32"/>
        </w:rPr>
        <w:t>（七）停止侵权行为的其他必要措施。管理专利工作的部门认定电子商务平台上的专利侵权行为成立，作出处理决定的，应当通知电子商务平台提供者及时对专利侵权产品或者依照专利方法直接获得的侵权产品相关网页采取删除、屏蔽或者断开链接等措施。</w:t>
      </w:r>
    </w:p>
    <w:p>
      <w:pPr>
        <w:ind w:firstLine="640" w:firstLineChars="200"/>
        <w:rPr>
          <w:rFonts w:hint="eastAsia" w:ascii="华文仿宋" w:hAnsi="华文仿宋" w:eastAsia="华文仿宋" w:cs="华文仿宋"/>
          <w:color w:val="auto"/>
          <w:sz w:val="32"/>
          <w:szCs w:val="32"/>
        </w:rPr>
      </w:pPr>
    </w:p>
    <w:sectPr>
      <w:type w:val="continuous"/>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7</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7</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2555E49"/>
    <w:rsid w:val="00A4168D"/>
    <w:rsid w:val="01E45C9D"/>
    <w:rsid w:val="03095FA4"/>
    <w:rsid w:val="04B25724"/>
    <w:rsid w:val="075F26C1"/>
    <w:rsid w:val="07C254CD"/>
    <w:rsid w:val="07F767BA"/>
    <w:rsid w:val="085E3C58"/>
    <w:rsid w:val="09B66422"/>
    <w:rsid w:val="09DE131B"/>
    <w:rsid w:val="0A015462"/>
    <w:rsid w:val="0AF7548F"/>
    <w:rsid w:val="0B5F6B29"/>
    <w:rsid w:val="0B790B20"/>
    <w:rsid w:val="0C885FC3"/>
    <w:rsid w:val="0D0C6095"/>
    <w:rsid w:val="1184698E"/>
    <w:rsid w:val="11AF0604"/>
    <w:rsid w:val="152C4024"/>
    <w:rsid w:val="158E7297"/>
    <w:rsid w:val="1664355D"/>
    <w:rsid w:val="16A66965"/>
    <w:rsid w:val="18827C51"/>
    <w:rsid w:val="1B2E5898"/>
    <w:rsid w:val="1CCE250C"/>
    <w:rsid w:val="1CF5270C"/>
    <w:rsid w:val="1E6F28CC"/>
    <w:rsid w:val="1F355035"/>
    <w:rsid w:val="1FEF3EE1"/>
    <w:rsid w:val="20CB38B4"/>
    <w:rsid w:val="217467FD"/>
    <w:rsid w:val="22555E49"/>
    <w:rsid w:val="230040D2"/>
    <w:rsid w:val="23DD71F6"/>
    <w:rsid w:val="2475441E"/>
    <w:rsid w:val="2490426B"/>
    <w:rsid w:val="272F0D77"/>
    <w:rsid w:val="274D292F"/>
    <w:rsid w:val="279515BF"/>
    <w:rsid w:val="2B401311"/>
    <w:rsid w:val="2B585503"/>
    <w:rsid w:val="2BA87D38"/>
    <w:rsid w:val="2D4F6685"/>
    <w:rsid w:val="2D5F49EC"/>
    <w:rsid w:val="2D8B3738"/>
    <w:rsid w:val="2D9E4245"/>
    <w:rsid w:val="2E841CA9"/>
    <w:rsid w:val="2F382010"/>
    <w:rsid w:val="31E04532"/>
    <w:rsid w:val="32B50D76"/>
    <w:rsid w:val="333A4686"/>
    <w:rsid w:val="34D3637B"/>
    <w:rsid w:val="3659267C"/>
    <w:rsid w:val="36D33D5B"/>
    <w:rsid w:val="37345C90"/>
    <w:rsid w:val="37CE346A"/>
    <w:rsid w:val="380D5A53"/>
    <w:rsid w:val="38F01221"/>
    <w:rsid w:val="39A75AD0"/>
    <w:rsid w:val="3A1F3C64"/>
    <w:rsid w:val="3A993127"/>
    <w:rsid w:val="3AF81A54"/>
    <w:rsid w:val="3BA77312"/>
    <w:rsid w:val="3BFD6910"/>
    <w:rsid w:val="3C261F3B"/>
    <w:rsid w:val="3CE32B80"/>
    <w:rsid w:val="3CE37ADE"/>
    <w:rsid w:val="3D166B23"/>
    <w:rsid w:val="3E441C2E"/>
    <w:rsid w:val="3EB30040"/>
    <w:rsid w:val="3EC62652"/>
    <w:rsid w:val="3EC77406"/>
    <w:rsid w:val="40127181"/>
    <w:rsid w:val="410214DA"/>
    <w:rsid w:val="41EC7D7B"/>
    <w:rsid w:val="423C335B"/>
    <w:rsid w:val="42D85ABC"/>
    <w:rsid w:val="42F53334"/>
    <w:rsid w:val="449E544F"/>
    <w:rsid w:val="44B42379"/>
    <w:rsid w:val="45B00309"/>
    <w:rsid w:val="47BD7906"/>
    <w:rsid w:val="480B558D"/>
    <w:rsid w:val="486A669C"/>
    <w:rsid w:val="497A169C"/>
    <w:rsid w:val="4A597B29"/>
    <w:rsid w:val="4AC75A1F"/>
    <w:rsid w:val="4B8A1606"/>
    <w:rsid w:val="4BD571FE"/>
    <w:rsid w:val="4C775F54"/>
    <w:rsid w:val="4C9F35AA"/>
    <w:rsid w:val="4CA44C5E"/>
    <w:rsid w:val="4D33668B"/>
    <w:rsid w:val="4F7B604C"/>
    <w:rsid w:val="4F9B202B"/>
    <w:rsid w:val="51100A30"/>
    <w:rsid w:val="5230399F"/>
    <w:rsid w:val="551D1000"/>
    <w:rsid w:val="569C753A"/>
    <w:rsid w:val="586B579E"/>
    <w:rsid w:val="59D163CA"/>
    <w:rsid w:val="5B510165"/>
    <w:rsid w:val="5B8B16F8"/>
    <w:rsid w:val="5BEE4753"/>
    <w:rsid w:val="5DC676F8"/>
    <w:rsid w:val="5DE945D6"/>
    <w:rsid w:val="5F1A17CC"/>
    <w:rsid w:val="5FA320FD"/>
    <w:rsid w:val="5FE01DDB"/>
    <w:rsid w:val="614917BE"/>
    <w:rsid w:val="62224762"/>
    <w:rsid w:val="6264142D"/>
    <w:rsid w:val="64204B34"/>
    <w:rsid w:val="64893DC5"/>
    <w:rsid w:val="64AA5A3C"/>
    <w:rsid w:val="65562A16"/>
    <w:rsid w:val="65FA03A9"/>
    <w:rsid w:val="6639207E"/>
    <w:rsid w:val="66997988"/>
    <w:rsid w:val="68872FC5"/>
    <w:rsid w:val="69AB2A58"/>
    <w:rsid w:val="69C77840"/>
    <w:rsid w:val="6A59735A"/>
    <w:rsid w:val="6A966C8A"/>
    <w:rsid w:val="6BBA1BDA"/>
    <w:rsid w:val="6C0D30A2"/>
    <w:rsid w:val="6CC25C88"/>
    <w:rsid w:val="6D351B25"/>
    <w:rsid w:val="6E5204D7"/>
    <w:rsid w:val="6F306A5A"/>
    <w:rsid w:val="6FA316DE"/>
    <w:rsid w:val="70A352DA"/>
    <w:rsid w:val="70EB542C"/>
    <w:rsid w:val="722A4D76"/>
    <w:rsid w:val="74390F52"/>
    <w:rsid w:val="74634C84"/>
    <w:rsid w:val="75A52D36"/>
    <w:rsid w:val="766475AD"/>
    <w:rsid w:val="773D4F4E"/>
    <w:rsid w:val="775056CC"/>
    <w:rsid w:val="77A21137"/>
    <w:rsid w:val="7A28166F"/>
    <w:rsid w:val="7C535A1B"/>
    <w:rsid w:val="7CCB61B7"/>
    <w:rsid w:val="7D222835"/>
    <w:rsid w:val="7F2B4A6D"/>
    <w:rsid w:val="7F3F04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FollowedHyperlink"/>
    <w:basedOn w:val="5"/>
    <w:uiPriority w:val="0"/>
    <w:rPr>
      <w:color w:val="800080"/>
      <w:u w:val="single"/>
    </w:rPr>
  </w:style>
  <w:style w:type="character" w:styleId="7">
    <w:name w:val="Hyperlink"/>
    <w:basedOn w:val="5"/>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2596</Words>
  <Characters>2710</Characters>
  <Lines>0</Lines>
  <Paragraphs>0</Paragraphs>
  <TotalTime>1</TotalTime>
  <ScaleCrop>false</ScaleCrop>
  <LinksUpToDate>false</LinksUpToDate>
  <CharactersWithSpaces>2791</CharactersWithSpaces>
  <Application>WPS Office_11.8.2.9015_F1E327BC-269C-435d-A152-05C5408002CA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2024-12-17T07:32:00Z</dcterms:created>
  <dc:creator>TF</dc:creator>
  <cp:lastModifiedBy>TF</cp:lastModifiedBy>
  <cp:lastPrinted>2025-01-07T01:00:41Z</cp:lastPrinted>
  <dcterms:modified xsi:type="dcterms:W3CDTF">2025-01-07T01:45:47Z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y fmtid="{D5CDD505-2E9C-101B-9397-08002B2CF9AE}" pid="3" name="ICV">
    <vt:lpwstr>2FF6B35D5711448C87EAB2E7FCE55CA7</vt:lpwstr>
  </property>
</Properties>
</file>