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sz w:val="44"/>
          <w:szCs w:val="44"/>
        </w:rPr>
      </w:pPr>
      <w:r>
        <w:rPr>
          <w:rFonts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lang w:val="en-US" w:eastAsia="zh-CN"/>
        </w:rPr>
        <w:t>2</w:t>
      </w:r>
      <w:r>
        <w:rPr>
          <w:rFonts w:hint="eastAsia" w:ascii="方正小标宋简体" w:hAnsi="方正小标宋简体" w:eastAsia="方正小标宋简体" w:cs="方正小标宋简体"/>
          <w:sz w:val="44"/>
          <w:szCs w:val="44"/>
        </w:rPr>
        <w:t>年慈溪市</w:t>
      </w:r>
      <w:r>
        <w:rPr>
          <w:rFonts w:hint="eastAsia" w:ascii="方正小标宋简体" w:hAnsi="方正小标宋简体" w:eastAsia="方正小标宋简体" w:cs="方正小标宋简体"/>
          <w:sz w:val="44"/>
          <w:szCs w:val="44"/>
          <w:lang w:eastAsia="zh-CN"/>
        </w:rPr>
        <w:t>司法局</w:t>
      </w:r>
      <w:r>
        <w:rPr>
          <w:rFonts w:hint="eastAsia" w:ascii="方正小标宋简体" w:hAnsi="方正小标宋简体" w:eastAsia="方正小标宋简体" w:cs="方正小标宋简体"/>
          <w:sz w:val="44"/>
          <w:szCs w:val="44"/>
        </w:rPr>
        <w:t>信息公开工作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年度报告</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3" w:firstLineChars="200"/>
        <w:jc w:val="left"/>
        <w:textAlignment w:val="auto"/>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一、总体情况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2022年度，慈溪市司法局根据《中华人民共和国政府信息公开条例》</w:t>
      </w:r>
      <w:r>
        <w:rPr>
          <w:rFonts w:hint="eastAsia" w:ascii="仿宋_GB2312" w:eastAsia="仿宋_GB2312"/>
          <w:sz w:val="32"/>
          <w:szCs w:val="32"/>
        </w:rPr>
        <w:t>（以下简称《条例》）</w:t>
      </w:r>
      <w:r>
        <w:rPr>
          <w:rFonts w:hint="eastAsia" w:ascii="仿宋_GB2312" w:hAnsi="仿宋_GB2312" w:eastAsia="仿宋_GB2312" w:cs="仿宋_GB2312"/>
          <w:kern w:val="2"/>
          <w:sz w:val="32"/>
          <w:szCs w:val="32"/>
          <w:lang w:val="en-US" w:eastAsia="zh-CN" w:bidi="ar-SA"/>
        </w:rPr>
        <w:t>要求，围绕市委市政府中心工作及群众关切，结合司法行政工作实际抓好落实，拓宽信息公开渠道，严控信息公开质量，提升信息公开工作效能。</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kern w:val="2"/>
          <w:sz w:val="32"/>
          <w:szCs w:val="32"/>
          <w:lang w:val="en-US" w:eastAsia="zh-CN" w:bidi="ar-SA"/>
        </w:rPr>
      </w:pPr>
      <w:r>
        <w:rPr>
          <w:rFonts w:hint="eastAsia" w:ascii="仿宋_GB2312" w:hAnsi="仿宋_GB2312" w:eastAsia="仿宋_GB2312" w:cs="仿宋_GB2312"/>
          <w:b/>
          <w:bCs/>
          <w:kern w:val="2"/>
          <w:sz w:val="32"/>
          <w:szCs w:val="32"/>
          <w:lang w:val="en-US" w:eastAsia="zh-CN" w:bidi="ar-SA"/>
        </w:rPr>
        <w:t>主动公开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本年度，</w:t>
      </w:r>
      <w:r>
        <w:rPr>
          <w:rFonts w:hint="eastAsia" w:ascii="仿宋_GB2312" w:hAnsi="仿宋_GB2312" w:eastAsia="仿宋_GB2312" w:cs="仿宋_GB2312"/>
          <w:sz w:val="32"/>
          <w:szCs w:val="32"/>
          <w:lang w:eastAsia="zh-CN"/>
        </w:rPr>
        <w:t>我局</w:t>
      </w:r>
      <w:r>
        <w:rPr>
          <w:rFonts w:hint="eastAsia" w:ascii="仿宋_GB2312" w:hAnsi="仿宋_GB2312" w:eastAsia="仿宋_GB2312" w:cs="仿宋_GB2312"/>
          <w:sz w:val="32"/>
          <w:szCs w:val="32"/>
        </w:rPr>
        <w:t>通过</w:t>
      </w:r>
      <w:r>
        <w:rPr>
          <w:rFonts w:hint="eastAsia" w:ascii="仿宋_GB2312" w:hAnsi="仿宋_GB2312" w:eastAsia="仿宋_GB2312" w:cs="仿宋_GB2312"/>
          <w:sz w:val="32"/>
          <w:szCs w:val="32"/>
          <w:lang w:eastAsia="zh-CN"/>
        </w:rPr>
        <w:t>各种渠道和方式主动公开信息共</w:t>
      </w:r>
      <w:r>
        <w:rPr>
          <w:rFonts w:hint="eastAsia" w:ascii="仿宋_GB2312" w:hAnsi="仿宋_GB2312" w:eastAsia="仿宋_GB2312" w:cs="仿宋_GB2312"/>
          <w:sz w:val="32"/>
          <w:szCs w:val="32"/>
          <w:lang w:val="en-US" w:eastAsia="zh-CN"/>
        </w:rPr>
        <w:t>427条，其中通过</w:t>
      </w:r>
      <w:r>
        <w:rPr>
          <w:rFonts w:hint="eastAsia" w:ascii="仿宋_GB2312" w:hAnsi="仿宋_GB2312" w:eastAsia="仿宋_GB2312" w:cs="仿宋_GB2312"/>
          <w:sz w:val="32"/>
          <w:szCs w:val="32"/>
        </w:rPr>
        <w:t>慈溪市政府信息公开平台</w:t>
      </w:r>
      <w:r>
        <w:rPr>
          <w:rFonts w:hint="eastAsia" w:ascii="仿宋_GB2312" w:hAnsi="仿宋_GB2312" w:eastAsia="仿宋_GB2312" w:cs="仿宋_GB2312"/>
          <w:sz w:val="32"/>
          <w:szCs w:val="32"/>
          <w:lang w:eastAsia="zh-CN"/>
        </w:rPr>
        <w:t>发布</w:t>
      </w:r>
      <w:r>
        <w:rPr>
          <w:rFonts w:hint="eastAsia" w:ascii="仿宋_GB2312" w:hAnsi="仿宋_GB2312" w:eastAsia="仿宋_GB2312" w:cs="仿宋_GB2312"/>
          <w:sz w:val="32"/>
          <w:szCs w:val="32"/>
        </w:rPr>
        <w:t>信息</w:t>
      </w:r>
      <w:r>
        <w:rPr>
          <w:rFonts w:hint="eastAsia" w:ascii="仿宋_GB2312" w:hAnsi="仿宋_GB2312" w:eastAsia="仿宋_GB2312" w:cs="仿宋_GB2312"/>
          <w:sz w:val="32"/>
          <w:szCs w:val="32"/>
          <w:lang w:val="en-US" w:eastAsia="zh-CN"/>
        </w:rPr>
        <w:t>17</w:t>
      </w:r>
      <w:r>
        <w:rPr>
          <w:rFonts w:hint="eastAsia" w:ascii="仿宋_GB2312" w:hAnsi="仿宋_GB2312" w:eastAsia="仿宋_GB2312" w:cs="仿宋_GB2312"/>
          <w:sz w:val="32"/>
          <w:szCs w:val="32"/>
        </w:rPr>
        <w:t>条</w:t>
      </w:r>
      <w:r>
        <w:rPr>
          <w:rFonts w:hint="eastAsia" w:ascii="仿宋_GB2312" w:hAnsi="仿宋_GB2312" w:eastAsia="仿宋_GB2312" w:cs="仿宋_GB2312"/>
          <w:sz w:val="32"/>
          <w:szCs w:val="32"/>
          <w:lang w:eastAsia="zh-CN"/>
        </w:rPr>
        <w:t>，通过“法治慈溪”官方</w:t>
      </w:r>
      <w:r>
        <w:rPr>
          <w:rFonts w:hint="eastAsia" w:ascii="仿宋_GB2312" w:hAnsi="仿宋_GB2312" w:eastAsia="仿宋_GB2312" w:cs="仿宋_GB2312"/>
          <w:sz w:val="32"/>
          <w:szCs w:val="32"/>
        </w:rPr>
        <w:t>微信</w:t>
      </w:r>
      <w:r>
        <w:rPr>
          <w:rFonts w:hint="eastAsia" w:ascii="仿宋_GB2312" w:hAnsi="仿宋_GB2312" w:eastAsia="仿宋_GB2312" w:cs="仿宋_GB2312"/>
          <w:sz w:val="32"/>
          <w:szCs w:val="32"/>
          <w:lang w:eastAsia="zh-CN"/>
        </w:rPr>
        <w:t>发布信息</w:t>
      </w:r>
      <w:r>
        <w:rPr>
          <w:rFonts w:hint="eastAsia" w:ascii="仿宋_GB2312" w:hAnsi="仿宋_GB2312" w:eastAsia="仿宋_GB2312" w:cs="仿宋_GB2312"/>
          <w:sz w:val="32"/>
          <w:szCs w:val="32"/>
          <w:lang w:val="en-US" w:eastAsia="zh-CN"/>
        </w:rPr>
        <w:t>410条。</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依申请公开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sz w:val="32"/>
          <w:szCs w:val="32"/>
          <w:lang w:eastAsia="zh-CN"/>
        </w:rPr>
        <w:t>本年度</w:t>
      </w:r>
      <w:r>
        <w:rPr>
          <w:rFonts w:hint="eastAsia" w:ascii="仿宋_GB2312" w:hAnsi="仿宋_GB2312" w:eastAsia="仿宋_GB2312" w:cs="仿宋_GB2312"/>
          <w:sz w:val="32"/>
          <w:szCs w:val="32"/>
        </w:rPr>
        <w:t>，我局</w:t>
      </w:r>
      <w:r>
        <w:rPr>
          <w:rFonts w:hint="eastAsia" w:ascii="仿宋_GB2312" w:hAnsi="仿宋_GB2312" w:eastAsia="仿宋_GB2312" w:cs="仿宋_GB2312"/>
          <w:sz w:val="32"/>
          <w:szCs w:val="32"/>
          <w:lang w:eastAsia="zh-CN"/>
        </w:rPr>
        <w:t>严格按照依申请公开办理流程开展工作，</w:t>
      </w:r>
      <w:r>
        <w:rPr>
          <w:rFonts w:hint="eastAsia" w:ascii="仿宋_GB2312" w:hAnsi="仿宋_GB2312" w:eastAsia="仿宋_GB2312" w:cs="仿宋_GB2312"/>
          <w:sz w:val="32"/>
          <w:szCs w:val="32"/>
        </w:rPr>
        <w:t>共收到书面或其他形式要求公开政府信息的申请</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件，</w:t>
      </w:r>
      <w:r>
        <w:rPr>
          <w:rFonts w:hint="eastAsia" w:ascii="仿宋_GB2312" w:hAnsi="仿宋_GB2312" w:eastAsia="仿宋_GB2312" w:cs="仿宋_GB2312"/>
          <w:sz w:val="32"/>
          <w:szCs w:val="32"/>
          <w:lang w:eastAsia="zh-CN"/>
        </w:rPr>
        <w:t>予以公开</w:t>
      </w:r>
      <w:r>
        <w:rPr>
          <w:rFonts w:hint="eastAsia" w:ascii="仿宋_GB2312" w:hAnsi="仿宋_GB2312" w:eastAsia="仿宋_GB2312" w:cs="仿宋_GB2312"/>
          <w:sz w:val="32"/>
          <w:szCs w:val="32"/>
          <w:lang w:val="en-US" w:eastAsia="zh-CN"/>
        </w:rPr>
        <w:t>2件，</w:t>
      </w:r>
      <w:r>
        <w:rPr>
          <w:rFonts w:hint="eastAsia" w:ascii="仿宋_GB2312" w:hAnsi="仿宋_GB2312" w:eastAsia="仿宋_GB2312" w:cs="仿宋_GB2312"/>
          <w:sz w:val="32"/>
          <w:szCs w:val="32"/>
        </w:rPr>
        <w:t>均在规定时间内予以处理。</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政府信息管理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bCs/>
          <w:color w:val="auto"/>
          <w:sz w:val="32"/>
          <w:szCs w:val="32"/>
          <w:lang w:eastAsia="zh-CN"/>
        </w:rPr>
        <w:t>一是</w:t>
      </w:r>
      <w:r>
        <w:rPr>
          <w:rFonts w:hint="eastAsia" w:ascii="仿宋_GB2312" w:hAnsi="仿宋_GB2312" w:eastAsia="仿宋_GB2312" w:cs="仿宋_GB2312"/>
          <w:b w:val="0"/>
          <w:bCs w:val="0"/>
          <w:color w:val="auto"/>
          <w:sz w:val="32"/>
          <w:szCs w:val="32"/>
        </w:rPr>
        <w:t>强化组织领导，</w:t>
      </w:r>
      <w:r>
        <w:rPr>
          <w:rFonts w:hint="eastAsia" w:ascii="仿宋_GB2312" w:hAnsi="仿宋_GB2312" w:eastAsia="仿宋_GB2312" w:cs="仿宋_GB2312"/>
          <w:b w:val="0"/>
          <w:bCs w:val="0"/>
          <w:color w:val="auto"/>
          <w:sz w:val="32"/>
          <w:szCs w:val="32"/>
          <w:lang w:eastAsia="zh-CN"/>
        </w:rPr>
        <w:t>根据人事变动情况及时调整信息公开工作领导小组成员，由分管副局长任组长、相关科室负责人及具体工作人员为成员，明确责任、分解落实。</w:t>
      </w:r>
      <w:r>
        <w:rPr>
          <w:rFonts w:hint="eastAsia" w:ascii="仿宋_GB2312" w:hAnsi="仿宋_GB2312" w:eastAsia="仿宋_GB2312" w:cs="仿宋_GB2312"/>
          <w:b/>
          <w:bCs/>
          <w:color w:val="auto"/>
          <w:sz w:val="32"/>
          <w:szCs w:val="32"/>
          <w:lang w:eastAsia="zh-CN"/>
        </w:rPr>
        <w:t>二是</w:t>
      </w:r>
      <w:r>
        <w:rPr>
          <w:rFonts w:hint="eastAsia" w:ascii="仿宋_GB2312" w:hAnsi="仿宋_GB2312" w:eastAsia="仿宋_GB2312" w:cs="仿宋_GB2312"/>
          <w:b w:val="0"/>
          <w:bCs w:val="0"/>
          <w:color w:val="auto"/>
          <w:sz w:val="32"/>
          <w:szCs w:val="32"/>
          <w:lang w:eastAsia="zh-CN"/>
        </w:rPr>
        <w:t>完善工作制度，加强信息公开工作人员管理，强化信息发布内容审查，规范信息发布格式，确保按时限、高质量发布。</w:t>
      </w:r>
      <w:r>
        <w:rPr>
          <w:rFonts w:hint="eastAsia" w:ascii="仿宋_GB2312" w:hAnsi="仿宋_GB2312" w:eastAsia="仿宋_GB2312" w:cs="仿宋_GB2312"/>
          <w:b/>
          <w:bCs/>
          <w:color w:val="auto"/>
          <w:sz w:val="32"/>
          <w:szCs w:val="32"/>
          <w:lang w:eastAsia="zh-CN"/>
        </w:rPr>
        <w:t>三是</w:t>
      </w:r>
      <w:r>
        <w:rPr>
          <w:rFonts w:hint="eastAsia" w:ascii="仿宋_GB2312" w:hAnsi="仿宋_GB2312" w:eastAsia="仿宋_GB2312" w:cs="仿宋_GB2312"/>
          <w:b w:val="0"/>
          <w:bCs w:val="0"/>
          <w:color w:val="auto"/>
          <w:sz w:val="32"/>
          <w:szCs w:val="32"/>
          <w:lang w:eastAsia="zh-CN"/>
        </w:rPr>
        <w:t>开展教育培训，发挥法治宣传职能优势，在全局开展</w:t>
      </w:r>
      <w:r>
        <w:rPr>
          <w:rFonts w:hint="eastAsia" w:ascii="仿宋_GB2312" w:hAnsi="仿宋_GB2312" w:eastAsia="仿宋_GB2312" w:cs="仿宋_GB2312"/>
          <w:b w:val="0"/>
          <w:bCs w:val="0"/>
          <w:color w:val="auto"/>
          <w:sz w:val="32"/>
          <w:szCs w:val="32"/>
          <w:lang w:val="en-US" w:eastAsia="zh-CN"/>
        </w:rPr>
        <w:t>《条例》及上级有关文件精神的学习，提高</w:t>
      </w:r>
      <w:r>
        <w:rPr>
          <w:rFonts w:hint="eastAsia" w:ascii="仿宋_GB2312" w:hAnsi="仿宋_GB2312" w:eastAsia="仿宋_GB2312" w:cs="仿宋_GB2312"/>
          <w:b w:val="0"/>
          <w:bCs w:val="0"/>
          <w:color w:val="auto"/>
          <w:sz w:val="32"/>
          <w:szCs w:val="32"/>
          <w:lang w:eastAsia="zh-CN"/>
        </w:rPr>
        <w:t>信息公开工作队伍的思想认识，促进</w:t>
      </w:r>
      <w:r>
        <w:rPr>
          <w:rFonts w:hint="eastAsia" w:ascii="仿宋_GB2312" w:hAnsi="仿宋_GB2312" w:eastAsia="仿宋_GB2312" w:cs="仿宋_GB2312"/>
          <w:b w:val="0"/>
          <w:bCs w:val="0"/>
          <w:color w:val="auto"/>
          <w:sz w:val="32"/>
          <w:szCs w:val="32"/>
          <w:lang w:val="en-US" w:eastAsia="zh-CN"/>
        </w:rPr>
        <w:t>信息公开业务质量有效提升。</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平台建设</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bCs/>
          <w:color w:val="auto"/>
          <w:sz w:val="32"/>
          <w:szCs w:val="32"/>
          <w:lang w:eastAsia="zh-CN"/>
        </w:rPr>
        <w:t>一是</w:t>
      </w:r>
      <w:r>
        <w:rPr>
          <w:rFonts w:hint="eastAsia" w:ascii="仿宋_GB2312" w:hAnsi="仿宋_GB2312" w:eastAsia="仿宋_GB2312" w:cs="仿宋_GB2312"/>
          <w:b w:val="0"/>
          <w:bCs w:val="0"/>
          <w:color w:val="auto"/>
          <w:sz w:val="32"/>
          <w:szCs w:val="32"/>
          <w:lang w:eastAsia="zh-CN"/>
        </w:rPr>
        <w:t>规范运行我局政府信息公开平台，根据上级要求和群众所需，适时调整公开目录，按要求做好平台维护工作。</w:t>
      </w:r>
      <w:r>
        <w:rPr>
          <w:rFonts w:hint="eastAsia" w:ascii="仿宋_GB2312" w:hAnsi="仿宋_GB2312" w:eastAsia="仿宋_GB2312" w:cs="仿宋_GB2312"/>
          <w:b/>
          <w:bCs/>
          <w:color w:val="auto"/>
          <w:sz w:val="32"/>
          <w:szCs w:val="32"/>
          <w:lang w:eastAsia="zh-CN"/>
        </w:rPr>
        <w:t>二是</w:t>
      </w:r>
      <w:r>
        <w:rPr>
          <w:rFonts w:hint="eastAsia" w:ascii="仿宋_GB2312" w:hAnsi="仿宋_GB2312" w:eastAsia="仿宋_GB2312" w:cs="仿宋_GB2312"/>
          <w:b w:val="0"/>
          <w:bCs w:val="0"/>
          <w:color w:val="auto"/>
          <w:sz w:val="32"/>
          <w:szCs w:val="32"/>
          <w:lang w:eastAsia="zh-CN"/>
        </w:rPr>
        <w:t>加强“法治慈溪”官方微信等政务新媒体管理，及时公开司法行政工作及公共法律服务信息，开展与群众的多形式互动，实现信息发布多元化，稳步增强平台影响力。</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bCs/>
          <w:sz w:val="32"/>
          <w:szCs w:val="32"/>
          <w:lang w:eastAsia="zh-CN"/>
        </w:rPr>
      </w:pPr>
      <w:r>
        <w:rPr>
          <w:rFonts w:hint="eastAsia" w:ascii="仿宋_GB2312" w:hAnsi="仿宋_GB2312" w:eastAsia="仿宋_GB2312" w:cs="仿宋_GB2312"/>
          <w:b/>
          <w:bCs/>
          <w:sz w:val="32"/>
          <w:szCs w:val="32"/>
          <w:lang w:eastAsia="zh-CN"/>
        </w:rPr>
        <w:t>监督保障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both"/>
        <w:textAlignment w:val="auto"/>
        <w:rPr>
          <w:rFonts w:hint="eastAsia" w:ascii="仿宋_GB2312" w:hAnsi="仿宋_GB2312" w:eastAsia="仿宋_GB2312" w:cs="仿宋_GB2312"/>
          <w:b w:val="0"/>
          <w:bCs w:val="0"/>
          <w:color w:val="auto"/>
          <w:sz w:val="32"/>
          <w:szCs w:val="32"/>
          <w:lang w:eastAsia="zh-CN"/>
        </w:rPr>
      </w:pPr>
      <w:r>
        <w:rPr>
          <w:rFonts w:hint="eastAsia" w:ascii="仿宋_GB2312" w:hAnsi="仿宋_GB2312" w:eastAsia="仿宋_GB2312" w:cs="仿宋_GB2312"/>
          <w:b/>
          <w:bCs/>
          <w:color w:val="auto"/>
          <w:sz w:val="32"/>
          <w:szCs w:val="32"/>
          <w:lang w:eastAsia="zh-CN"/>
        </w:rPr>
        <w:t>一是</w:t>
      </w:r>
      <w:r>
        <w:rPr>
          <w:rFonts w:hint="eastAsia" w:ascii="仿宋_GB2312" w:hAnsi="仿宋_GB2312" w:eastAsia="仿宋_GB2312" w:cs="仿宋_GB2312"/>
          <w:b w:val="0"/>
          <w:bCs w:val="0"/>
          <w:color w:val="auto"/>
          <w:sz w:val="32"/>
          <w:szCs w:val="32"/>
          <w:lang w:eastAsia="zh-CN"/>
        </w:rPr>
        <w:t>完善主动公开和依申请公开工作机制，健全政府信息公开保密审查等制度，细化相关责任科室职责，规范内部处理流程，明确办理时限，杜绝因工作效能问题引起的政府信息公开行政复议和行政诉讼。</w:t>
      </w:r>
      <w:r>
        <w:rPr>
          <w:rFonts w:hint="eastAsia" w:ascii="仿宋_GB2312" w:hAnsi="仿宋_GB2312" w:eastAsia="仿宋_GB2312" w:cs="仿宋_GB2312"/>
          <w:b/>
          <w:bCs/>
          <w:color w:val="auto"/>
          <w:sz w:val="32"/>
          <w:szCs w:val="32"/>
          <w:lang w:eastAsia="zh-CN"/>
        </w:rPr>
        <w:t>二是</w:t>
      </w:r>
      <w:r>
        <w:rPr>
          <w:rFonts w:hint="eastAsia" w:ascii="仿宋_GB2312" w:hAnsi="仿宋_GB2312" w:eastAsia="仿宋_GB2312" w:cs="仿宋_GB2312"/>
          <w:b w:val="0"/>
          <w:bCs w:val="0"/>
          <w:color w:val="auto"/>
          <w:sz w:val="32"/>
          <w:szCs w:val="32"/>
          <w:lang w:val="en-US" w:eastAsia="zh-CN"/>
        </w:rPr>
        <w:t>积极参加全市统一的政务公开社会评议并定期按规定发布责任追究情况。</w:t>
      </w:r>
      <w:bookmarkStart w:id="0" w:name="_GoBack"/>
      <w:bookmarkEnd w:id="0"/>
    </w:p>
    <w:p>
      <w:pPr>
        <w:spacing w:line="560" w:lineRule="exact"/>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二、主动公开政府信息情况</w:t>
      </w:r>
    </w:p>
    <w:tbl>
      <w:tblPr>
        <w:tblStyle w:val="4"/>
        <w:tblW w:w="88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60"/>
        <w:gridCol w:w="2588"/>
        <w:gridCol w:w="2252"/>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第二十条第（一）项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本年制发件数</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本年废止件数</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现行有效件数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规章</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行政规范性文件</w:t>
            </w:r>
          </w:p>
        </w:tc>
        <w:tc>
          <w:tcPr>
            <w:tcW w:w="258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225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198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第二十条第（五）项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行政许可</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highlight w:val="yellow"/>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第二十条第（六）项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本年处理决定数量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行政处罚</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行政强制</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8880" w:type="dxa"/>
            <w:gridSpan w:val="4"/>
            <w:tcBorders>
              <w:top w:val="single" w:color="auto" w:sz="4" w:space="0"/>
              <w:left w:val="single" w:color="auto" w:sz="4" w:space="0"/>
              <w:bottom w:val="single" w:color="auto" w:sz="4" w:space="0"/>
              <w:right w:val="single" w:color="auto" w:sz="4" w:space="0"/>
            </w:tcBorders>
            <w:noWrap w:val="0"/>
            <w:vAlign w:val="top"/>
          </w:tcPr>
          <w:p>
            <w:pPr>
              <w:spacing w:line="400" w:lineRule="exact"/>
              <w:jc w:val="center"/>
              <w:rPr>
                <w:rFonts w:ascii="黑体" w:hAnsi="黑体" w:eastAsia="黑体"/>
                <w:sz w:val="24"/>
                <w:szCs w:val="24"/>
              </w:rPr>
            </w:pPr>
            <w:r>
              <w:rPr>
                <w:rFonts w:hint="eastAsia" w:ascii="黑体" w:hAnsi="黑体" w:eastAsia="黑体" w:cs="黑体"/>
                <w:sz w:val="24"/>
                <w:szCs w:val="24"/>
              </w:rPr>
              <w:t>第二十条第（八）项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信息内容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本年收费金额（单位：万元）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7" w:hRule="atLeast"/>
          <w:jc w:val="center"/>
        </w:trPr>
        <w:tc>
          <w:tcPr>
            <w:tcW w:w="20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cs="仿宋_GB2312"/>
                <w:sz w:val="24"/>
                <w:szCs w:val="24"/>
              </w:rPr>
              <w:t>行政事业性收费</w:t>
            </w:r>
          </w:p>
        </w:tc>
        <w:tc>
          <w:tcPr>
            <w:tcW w:w="6820"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r>
    </w:tbl>
    <w:p>
      <w:pPr>
        <w:spacing w:line="560" w:lineRule="exact"/>
        <w:ind w:firstLine="643" w:firstLineChars="200"/>
        <w:jc w:val="left"/>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三、收到和处理政府信息公开申请情况</w:t>
      </w:r>
    </w:p>
    <w:tbl>
      <w:tblPr>
        <w:tblStyle w:val="4"/>
        <w:tblW w:w="891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9"/>
        <w:gridCol w:w="1080"/>
        <w:gridCol w:w="2028"/>
        <w:gridCol w:w="696"/>
        <w:gridCol w:w="772"/>
        <w:gridCol w:w="705"/>
        <w:gridCol w:w="925"/>
        <w:gridCol w:w="735"/>
        <w:gridCol w:w="460"/>
        <w:gridCol w:w="5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107" w:type="dxa"/>
            <w:gridSpan w:val="3"/>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r>
              <w:rPr>
                <w:rFonts w:hint="eastAsia" w:ascii="仿宋_GB2312" w:hAnsi="仿宋_GB2312" w:eastAsia="仿宋_GB2312" w:cs="仿宋_GB2312"/>
                <w:sz w:val="24"/>
                <w:szCs w:val="24"/>
              </w:rPr>
              <w:t>（本列数据的勾稽关系为：第一项加第二项之和，等于第三项加第四项之和）</w:t>
            </w:r>
          </w:p>
        </w:tc>
        <w:tc>
          <w:tcPr>
            <w:tcW w:w="4812" w:type="dxa"/>
            <w:gridSpan w:val="7"/>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申请人情况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p>
        </w:tc>
        <w:tc>
          <w:tcPr>
            <w:tcW w:w="696"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自然人</w:t>
            </w:r>
          </w:p>
        </w:tc>
        <w:tc>
          <w:tcPr>
            <w:tcW w:w="3597" w:type="dxa"/>
            <w:gridSpan w:val="5"/>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法人或其他组织</w:t>
            </w:r>
          </w:p>
        </w:tc>
        <w:tc>
          <w:tcPr>
            <w:tcW w:w="51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总计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5" w:hRule="atLeast"/>
          <w:jc w:val="center"/>
        </w:trPr>
        <w:tc>
          <w:tcPr>
            <w:tcW w:w="4107" w:type="dxa"/>
            <w:gridSpan w:val="3"/>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宋体"/>
                <w:sz w:val="18"/>
                <w:szCs w:val="18"/>
              </w:rPr>
            </w:pPr>
          </w:p>
        </w:tc>
        <w:tc>
          <w:tcPr>
            <w:tcW w:w="696"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商业企业</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科研机构</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社会公益组织</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法律服务机构</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黑体" w:hAnsi="黑体" w:eastAsia="黑体"/>
                <w:sz w:val="24"/>
                <w:szCs w:val="24"/>
              </w:rPr>
            </w:pPr>
            <w:r>
              <w:rPr>
                <w:rFonts w:hint="eastAsia" w:ascii="黑体" w:hAnsi="黑体" w:eastAsia="黑体" w:cs="黑体"/>
                <w:sz w:val="24"/>
                <w:szCs w:val="24"/>
              </w:rPr>
              <w:t>其他</w:t>
            </w:r>
          </w:p>
        </w:tc>
        <w:tc>
          <w:tcPr>
            <w:tcW w:w="51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黑体" w:hAnsi="黑体" w:eastAsia="黑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一、本年新收到政府信息公开申请数量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2</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7"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二、上年结转政府信息公开申请数量</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三、本年度办理结果</w:t>
            </w: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（一）予以公开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2</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（二）部分公开（区分处理的，只计这一情形，不计其他情形）</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（三）不予公开</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属于国家秘密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其他法律行政法规禁止公开</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4"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危及“三安全一稳定”</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保护第三方合法权益</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属于三类内部事务信息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6.</w:t>
            </w:r>
            <w:r>
              <w:rPr>
                <w:rFonts w:hint="eastAsia" w:ascii="仿宋_GB2312" w:hAnsi="仿宋_GB2312" w:eastAsia="仿宋_GB2312" w:cs="仿宋_GB2312"/>
                <w:sz w:val="24"/>
                <w:szCs w:val="24"/>
              </w:rPr>
              <w:t>属于四类过程性信息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7.</w:t>
            </w:r>
            <w:r>
              <w:rPr>
                <w:rFonts w:hint="eastAsia" w:ascii="仿宋_GB2312" w:hAnsi="仿宋_GB2312" w:eastAsia="仿宋_GB2312" w:cs="仿宋_GB2312"/>
                <w:sz w:val="24"/>
                <w:szCs w:val="24"/>
              </w:rPr>
              <w:t>属于行政执法案卷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2"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8.</w:t>
            </w:r>
            <w:r>
              <w:rPr>
                <w:rFonts w:hint="eastAsia" w:ascii="仿宋_GB2312" w:hAnsi="仿宋_GB2312" w:eastAsia="仿宋_GB2312" w:cs="仿宋_GB2312"/>
                <w:sz w:val="24"/>
                <w:szCs w:val="24"/>
              </w:rPr>
              <w:t>属于行政查询事项</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（四）无法提供</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本机关不掌握相关政府信息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没有现成信息需要另行制作</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补正后申请内容仍不明确</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40"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（五）不予处理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信访举报投诉类申请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lang w:val="en-US"/>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1"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要求提供公开出版物</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无正当理由大量反复申请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要求行政机关确认或重新出具已获取信息</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（六）其他处理</w:t>
            </w: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r>
              <w:rPr>
                <w:rFonts w:ascii="仿宋_GB2312" w:hAnsi="仿宋_GB2312" w:eastAsia="仿宋_GB2312" w:cs="仿宋_GB2312"/>
                <w:sz w:val="24"/>
                <w:szCs w:val="24"/>
              </w:rPr>
              <w:t>1.</w:t>
            </w:r>
            <w:r>
              <w:rPr>
                <w:rFonts w:hint="eastAsia" w:ascii="仿宋_GB2312" w:hAnsi="仿宋_GB2312" w:eastAsia="仿宋_GB2312" w:cs="仿宋_GB2312"/>
                <w:sz w:val="24"/>
                <w:szCs w:val="24"/>
              </w:rPr>
              <w:t>申请人无正当理由逾期不补正、行政机关不再处理其政府信息公开申请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申请人逾期未按收费通知要求缴纳费用、行政机关不再处理其政府信息公开申请</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5"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p>
        </w:tc>
        <w:tc>
          <w:tcPr>
            <w:tcW w:w="2028" w:type="dxa"/>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cs="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其他</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99" w:hRule="atLeast"/>
          <w:jc w:val="center"/>
        </w:trPr>
        <w:tc>
          <w:tcPr>
            <w:tcW w:w="999"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p>
        </w:tc>
        <w:tc>
          <w:tcPr>
            <w:tcW w:w="3108" w:type="dxa"/>
            <w:gridSpan w:val="2"/>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（七）总计</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2</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2" w:hRule="atLeast"/>
          <w:jc w:val="center"/>
        </w:trPr>
        <w:tc>
          <w:tcPr>
            <w:tcW w:w="4107" w:type="dxa"/>
            <w:gridSpan w:val="3"/>
            <w:tcBorders>
              <w:top w:val="single" w:color="auto" w:sz="4" w:space="0"/>
              <w:left w:val="single" w:color="auto" w:sz="4" w:space="0"/>
              <w:bottom w:val="single" w:color="auto" w:sz="4" w:space="0"/>
              <w:right w:val="single" w:color="auto" w:sz="4" w:space="0"/>
            </w:tcBorders>
            <w:noWrap w:val="0"/>
            <w:vAlign w:val="center"/>
          </w:tcPr>
          <w:p>
            <w:pPr>
              <w:spacing w:line="400" w:lineRule="exact"/>
              <w:rPr>
                <w:rFonts w:ascii="仿宋_GB2312" w:hAnsi="仿宋_GB2312" w:eastAsia="仿宋_GB2312"/>
                <w:sz w:val="24"/>
                <w:szCs w:val="24"/>
              </w:rPr>
            </w:pPr>
            <w:r>
              <w:rPr>
                <w:rFonts w:hint="eastAsia" w:ascii="仿宋_GB2312" w:hAnsi="仿宋_GB2312" w:eastAsia="仿宋_GB2312" w:cs="仿宋_GB2312"/>
                <w:sz w:val="24"/>
                <w:szCs w:val="24"/>
              </w:rPr>
              <w:t>四、结转下年度继续办理</w:t>
            </w:r>
          </w:p>
        </w:tc>
        <w:tc>
          <w:tcPr>
            <w:tcW w:w="696"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hint="eastAsia" w:ascii="仿宋_GB2312" w:hAnsi="仿宋_GB2312" w:eastAsia="仿宋_GB2312"/>
                <w:sz w:val="24"/>
                <w:szCs w:val="24"/>
                <w:lang w:val="en-US" w:eastAsia="zh-CN"/>
              </w:rPr>
            </w:pPr>
            <w:r>
              <w:rPr>
                <w:rFonts w:hint="eastAsia" w:ascii="仿宋_GB2312" w:hAnsi="仿宋_GB2312" w:eastAsia="仿宋_GB2312"/>
                <w:sz w:val="24"/>
                <w:szCs w:val="24"/>
                <w:lang w:val="en-US" w:eastAsia="zh-CN"/>
              </w:rPr>
              <w:t>0</w:t>
            </w:r>
          </w:p>
        </w:tc>
        <w:tc>
          <w:tcPr>
            <w:tcW w:w="772"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0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92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735"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460"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c>
          <w:tcPr>
            <w:tcW w:w="519"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仿宋_GB2312" w:hAnsi="仿宋_GB2312" w:eastAsia="仿宋_GB2312"/>
                <w:sz w:val="24"/>
                <w:szCs w:val="24"/>
              </w:rPr>
            </w:pPr>
            <w:r>
              <w:rPr>
                <w:rFonts w:hint="eastAsia" w:ascii="仿宋_GB2312" w:hAnsi="仿宋_GB2312" w:eastAsia="仿宋_GB2312"/>
                <w:sz w:val="24"/>
                <w:szCs w:val="24"/>
                <w:lang w:val="en-US" w:eastAsia="zh-CN"/>
              </w:rPr>
              <w:t>0</w:t>
            </w:r>
          </w:p>
        </w:tc>
      </w:tr>
    </w:tbl>
    <w:p>
      <w:pPr>
        <w:spacing w:line="560" w:lineRule="exact"/>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四、政府信息公开行政复议、行政诉讼情况</w:t>
      </w:r>
    </w:p>
    <w:tbl>
      <w:tblPr>
        <w:tblStyle w:val="4"/>
        <w:tblW w:w="8839" w:type="dxa"/>
        <w:jc w:val="center"/>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
      <w:tblGrid>
        <w:gridCol w:w="583"/>
        <w:gridCol w:w="583"/>
        <w:gridCol w:w="583"/>
        <w:gridCol w:w="583"/>
        <w:gridCol w:w="661"/>
        <w:gridCol w:w="529"/>
        <w:gridCol w:w="584"/>
        <w:gridCol w:w="584"/>
        <w:gridCol w:w="584"/>
        <w:gridCol w:w="611"/>
        <w:gridCol w:w="584"/>
        <w:gridCol w:w="584"/>
        <w:gridCol w:w="584"/>
        <w:gridCol w:w="585"/>
        <w:gridCol w:w="61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95" w:hRule="atLeast"/>
          <w:jc w:val="center"/>
        </w:trPr>
        <w:tc>
          <w:tcPr>
            <w:tcW w:w="2993"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行政复议</w:t>
            </w:r>
          </w:p>
        </w:tc>
        <w:tc>
          <w:tcPr>
            <w:tcW w:w="5846" w:type="dxa"/>
            <w:gridSpan w:val="10"/>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黑体" w:hAnsi="黑体" w:eastAsia="黑体" w:cs="黑体"/>
                <w:sz w:val="24"/>
                <w:szCs w:val="24"/>
              </w:rPr>
            </w:pPr>
            <w:r>
              <w:rPr>
                <w:rFonts w:hint="eastAsia" w:ascii="黑体" w:hAnsi="黑体" w:eastAsia="黑体" w:cs="黑体"/>
                <w:sz w:val="24"/>
                <w:szCs w:val="24"/>
              </w:rPr>
              <w:t>行政诉讼</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495" w:hRule="atLeast"/>
          <w:jc w:val="center"/>
        </w:trPr>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3"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61" w:type="dxa"/>
            <w:vMerge w:val="restart"/>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2892"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未经复议直接起诉</w:t>
            </w:r>
          </w:p>
        </w:tc>
        <w:tc>
          <w:tcPr>
            <w:tcW w:w="2954" w:type="dxa"/>
            <w:gridSpan w:val="5"/>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复议后起诉</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595" w:hRule="atLeast"/>
          <w:jc w:val="center"/>
        </w:trPr>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583"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661" w:type="dxa"/>
            <w:vMerge w:val="continue"/>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结果维持</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结果纠正</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其他结果</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尚未审结</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总计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0" w:type="dxa"/>
            <w:bottom w:w="0" w:type="dxa"/>
            <w:right w:w="0" w:type="dxa"/>
          </w:tblCellMar>
        </w:tblPrEx>
        <w:trPr>
          <w:trHeight w:val="1595" w:hRule="atLeast"/>
          <w:jc w:val="center"/>
        </w:trPr>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3"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66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29"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611"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4"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585"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c>
          <w:tcPr>
            <w:tcW w:w="617" w:type="dxa"/>
            <w:tcBorders>
              <w:top w:val="single" w:color="auto" w:sz="8" w:space="0"/>
              <w:left w:val="single" w:color="auto" w:sz="8" w:space="0"/>
              <w:bottom w:val="single" w:color="auto" w:sz="8" w:space="0"/>
              <w:right w:val="single" w:color="auto" w:sz="8" w:space="0"/>
            </w:tcBorders>
            <w:noWrap w:val="0"/>
            <w:tcMar>
              <w:left w:w="108" w:type="dxa"/>
              <w:right w:w="108" w:type="dxa"/>
            </w:tcMar>
            <w:vAlign w:val="center"/>
          </w:tcPr>
          <w:p>
            <w:pPr>
              <w:spacing w:line="400" w:lineRule="exact"/>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0</w:t>
            </w:r>
          </w:p>
        </w:tc>
      </w:tr>
    </w:tbl>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五、存在的主要问题及改进情况</w:t>
      </w:r>
    </w:p>
    <w:p>
      <w:pPr>
        <w:pStyle w:val="2"/>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2022年，我局政府信息公开工作存在的主要问题是政策文件类信息公开不足、政策解读有待加强等。</w:t>
      </w:r>
    </w:p>
    <w:p>
      <w:pPr>
        <w:pStyle w:val="2"/>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auto"/>
          <w:kern w:val="2"/>
          <w:sz w:val="32"/>
          <w:szCs w:val="32"/>
          <w:lang w:val="en-US" w:eastAsia="zh-CN" w:bidi="ar-SA"/>
        </w:rPr>
      </w:pPr>
      <w:r>
        <w:rPr>
          <w:rFonts w:hint="eastAsia" w:ascii="仿宋_GB2312" w:hAnsi="仿宋_GB2312" w:eastAsia="仿宋_GB2312" w:cs="仿宋_GB2312"/>
          <w:color w:val="auto"/>
          <w:kern w:val="2"/>
          <w:sz w:val="32"/>
          <w:szCs w:val="32"/>
          <w:lang w:val="en-US" w:eastAsia="zh-CN" w:bidi="ar-SA"/>
        </w:rPr>
        <w:t>2023年，我局将按照《条例》要求，紧紧围绕市委市政府重点工作，切实提高信息公开工作思想认识和业务能力，特别是在公共法律服务领域，做到相关服务事项信息公开全覆盖。</w:t>
      </w:r>
    </w:p>
    <w:p>
      <w:pPr>
        <w:keepNext w:val="0"/>
        <w:keepLines w:val="0"/>
        <w:pageBreakBefore w:val="0"/>
        <w:kinsoku/>
        <w:wordWrap/>
        <w:overflowPunct/>
        <w:topLinePunct w:val="0"/>
        <w:autoSpaceDE/>
        <w:autoSpaceDN/>
        <w:bidi w:val="0"/>
        <w:adjustRightInd/>
        <w:snapToGrid/>
        <w:spacing w:line="560" w:lineRule="exact"/>
        <w:ind w:firstLine="643" w:firstLineChars="200"/>
        <w:jc w:val="both"/>
        <w:textAlignment w:val="auto"/>
        <w:rPr>
          <w:rFonts w:ascii="仿宋_GB2312" w:hAnsi="仿宋_GB2312" w:eastAsia="仿宋_GB2312" w:cs="仿宋_GB2312"/>
          <w:b/>
          <w:bCs/>
          <w:sz w:val="32"/>
          <w:szCs w:val="32"/>
        </w:rPr>
      </w:pPr>
      <w:r>
        <w:rPr>
          <w:rFonts w:hint="eastAsia" w:ascii="仿宋_GB2312" w:hAnsi="仿宋_GB2312" w:eastAsia="仿宋_GB2312" w:cs="仿宋_GB2312"/>
          <w:b/>
          <w:bCs/>
          <w:sz w:val="32"/>
          <w:szCs w:val="32"/>
        </w:rPr>
        <w:t>六、其他需要报告的事项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2022年1月1日至12月31日，本单位共收取信息处理费0元。</w:t>
      </w: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p>
    <w:p>
      <w:pPr>
        <w:keepNext w:val="0"/>
        <w:keepLines w:val="0"/>
        <w:pageBreakBefore w:val="0"/>
        <w:kinsoku/>
        <w:wordWrap/>
        <w:overflowPunct/>
        <w:topLinePunct w:val="0"/>
        <w:autoSpaceDE/>
        <w:autoSpaceDN/>
        <w:bidi w:val="0"/>
        <w:adjustRightInd/>
        <w:snapToGrid/>
        <w:spacing w:line="560" w:lineRule="exact"/>
        <w:textAlignment w:val="auto"/>
        <w:rPr>
          <w:rFonts w:ascii="仿宋_GB2312" w:hAnsi="仿宋_GB2312" w:eastAsia="仿宋_GB2312" w:cs="仿宋_GB2312"/>
          <w:sz w:val="32"/>
          <w:szCs w:val="32"/>
        </w:rPr>
      </w:pPr>
    </w:p>
    <w:p>
      <w:pPr>
        <w:keepNext w:val="0"/>
        <w:keepLines w:val="0"/>
        <w:pageBreakBefore w:val="0"/>
        <w:kinsoku/>
        <w:wordWrap w:val="0"/>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sz w:val="32"/>
          <w:szCs w:val="32"/>
          <w:lang w:val="en-US" w:eastAsia="zh-CN"/>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lang w:eastAsia="zh-CN"/>
        </w:rPr>
        <w:t>慈溪市司法局</w:t>
      </w:r>
      <w:r>
        <w:rPr>
          <w:rFonts w:hint="eastAsia" w:ascii="仿宋_GB2312" w:hAnsi="仿宋_GB2312" w:eastAsia="仿宋_GB2312" w:cs="仿宋_GB2312"/>
          <w:sz w:val="32"/>
          <w:szCs w:val="32"/>
          <w:lang w:val="en-US" w:eastAsia="zh-CN"/>
        </w:rPr>
        <w:t xml:space="preserve"> </w:t>
      </w:r>
    </w:p>
    <w:p>
      <w:pPr>
        <w:keepNext w:val="0"/>
        <w:keepLines w:val="0"/>
        <w:pageBreakBefore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仿宋_GB2312" w:eastAsia="仿宋_GB2312" w:cs="仿宋_GB2312"/>
          <w:sz w:val="32"/>
          <w:szCs w:val="32"/>
          <w:lang w:val="en-US" w:eastAsia="zh-CN"/>
        </w:rPr>
      </w:pPr>
      <w:r>
        <w:rPr>
          <w:rFonts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2023年1月12日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913B893"/>
    <w:multiLevelType w:val="singleLevel"/>
    <w:tmpl w:val="6913B893"/>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9224CFE"/>
    <w:rsid w:val="061C68CD"/>
    <w:rsid w:val="0EC13ADE"/>
    <w:rsid w:val="104F5A8B"/>
    <w:rsid w:val="1EC55917"/>
    <w:rsid w:val="1FBC740C"/>
    <w:rsid w:val="21DC3892"/>
    <w:rsid w:val="2E0D3CAD"/>
    <w:rsid w:val="318200DB"/>
    <w:rsid w:val="36B5161D"/>
    <w:rsid w:val="389C6167"/>
    <w:rsid w:val="3C6A666F"/>
    <w:rsid w:val="3D7F104D"/>
    <w:rsid w:val="47C128E9"/>
    <w:rsid w:val="4A9F719A"/>
    <w:rsid w:val="4D8B2057"/>
    <w:rsid w:val="4DCB13C3"/>
    <w:rsid w:val="50E00309"/>
    <w:rsid w:val="59035886"/>
    <w:rsid w:val="59D90727"/>
    <w:rsid w:val="59F369CF"/>
    <w:rsid w:val="5CD856AA"/>
    <w:rsid w:val="60D75D58"/>
    <w:rsid w:val="61857D0C"/>
    <w:rsid w:val="6288601B"/>
    <w:rsid w:val="628A13B4"/>
    <w:rsid w:val="62B163E0"/>
    <w:rsid w:val="65A05B0D"/>
    <w:rsid w:val="661476E6"/>
    <w:rsid w:val="68B01E25"/>
    <w:rsid w:val="69224CFE"/>
    <w:rsid w:val="6E4111E9"/>
    <w:rsid w:val="6FE7385C"/>
    <w:rsid w:val="764F44AD"/>
    <w:rsid w:val="7C9F39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rPr>
      <w:rFonts w:ascii="Times New Roman" w:hAnsi="Times New Roman"/>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Office_11.8.2.7978_F1E327BC-269C-435d-A152-05C5408002CA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2022-01-10T06:29:00Z</dcterms:created>
  <dc:creator>user</dc:creator>
  <cp:lastModifiedBy>时不我渝</cp:lastModifiedBy>
  <cp:lastPrinted>2023-01-12T06:20:41Z</cp:lastPrinted>
  <dcterms:modified xsi:type="dcterms:W3CDTF">2023-01-12T07:54:07Z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2052-11.8.2.7978</vt:lpwstr>
  </property>
</Properties>
</file>