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案号:慈知案字[</w:t>
      </w:r>
      <w:r>
        <w:rPr>
          <w:rFonts w:hint="eastAsia" w:ascii="华文仿宋" w:hAnsi="华文仿宋" w:eastAsia="华文仿宋" w:cs="华文仿宋"/>
          <w:sz w:val="32"/>
          <w:szCs w:val="32"/>
        </w:rPr>
        <w:t>20</w:t>
      </w:r>
      <w:r>
        <w:rPr>
          <w:rFonts w:hint="eastAsia" w:ascii="华文仿宋" w:hAnsi="华文仿宋" w:eastAsia="华文仿宋" w:cs="华文仿宋"/>
          <w:sz w:val="32"/>
          <w:szCs w:val="32"/>
          <w:lang w:val="en-US" w:eastAsia="zh-CN"/>
        </w:rPr>
        <w:t>21]</w:t>
      </w:r>
      <w:r>
        <w:rPr>
          <w:rFonts w:hint="eastAsia" w:ascii="华文仿宋" w:hAnsi="华文仿宋" w:eastAsia="华文仿宋" w:cs="华文仿宋"/>
          <w:sz w:val="32"/>
          <w:szCs w:val="32"/>
        </w:rPr>
        <w:t xml:space="preserve"> </w:t>
      </w:r>
      <w:r>
        <w:rPr>
          <w:rFonts w:hint="eastAsia" w:ascii="华文仿宋" w:hAnsi="华文仿宋" w:eastAsia="华文仿宋" w:cs="华文仿宋"/>
          <w:sz w:val="32"/>
          <w:szCs w:val="32"/>
          <w:lang w:val="en-US" w:eastAsia="zh-CN"/>
        </w:rPr>
        <w:t>20</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宁波康纳特电器有限公司</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：慈溪市久益电器有限公司</w:t>
      </w:r>
    </w:p>
    <w:p>
      <w:pPr>
        <w:rPr>
          <w:rFonts w:hint="eastAsia" w:ascii="华文仿宋" w:hAnsi="华文仿宋" w:eastAsia="华文仿宋" w:cs="华文仿宋"/>
          <w:sz w:val="32"/>
          <w:szCs w:val="32"/>
          <w:lang w:val="en-US" w:eastAsia="zh-CN"/>
        </w:rPr>
      </w:pPr>
      <w:bookmarkStart w:id="0" w:name="_GoBack"/>
      <w:bookmarkEnd w:id="0"/>
      <w:r>
        <w:rPr>
          <w:rFonts w:hint="eastAsia" w:ascii="华文仿宋" w:hAnsi="华文仿宋" w:eastAsia="华文仿宋" w:cs="华文仿宋"/>
          <w:sz w:val="32"/>
          <w:szCs w:val="32"/>
          <w:lang w:val="en-US" w:eastAsia="zh-CN"/>
        </w:rPr>
        <w:t>案由：外观设计专利侵权纠纷，专利名称“取暖器（PTC火焰）”，专利号：ZL201930407171.X</w:t>
      </w:r>
    </w:p>
    <w:p>
      <w:pPr>
        <w:rPr>
          <w:rFonts w:hint="eastAsia" w:ascii="华文仿宋" w:hAnsi="华文仿宋" w:eastAsia="华文仿宋" w:cs="华文仿宋"/>
          <w:sz w:val="32"/>
          <w:szCs w:val="32"/>
          <w:lang w:val="en-US" w:eastAsia="zh-CN"/>
        </w:rPr>
      </w:pP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请求人就其“取暖器（PTC火焰）”的外观设计专利（专利号：ZL201930407171.X）与被请求人的专利侵权纠纷，向我局提出处理请求。我局于2021年12月20日受理后，依照《专利行政执法办法》第十三条组成合议组。合议组于2022年1月25日进行了口头审理，请求人和被请求人代理人到庭参加了口头审理。现本案已审结。</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请求人</w:t>
      </w:r>
      <w:r>
        <w:rPr>
          <w:rFonts w:hint="eastAsia" w:ascii="华文仿宋" w:hAnsi="华文仿宋" w:eastAsia="华文仿宋" w:cs="华文仿宋"/>
          <w:sz w:val="32"/>
          <w:szCs w:val="32"/>
          <w:lang w:val="en-US" w:eastAsia="zh-CN"/>
        </w:rPr>
        <w:t>诉求：请求依法裁决</w:t>
      </w:r>
      <w:r>
        <w:rPr>
          <w:rFonts w:hint="default" w:ascii="华文仿宋" w:hAnsi="华文仿宋" w:eastAsia="华文仿宋" w:cs="华文仿宋"/>
          <w:sz w:val="32"/>
          <w:szCs w:val="32"/>
          <w:lang w:val="en-US" w:eastAsia="zh-CN"/>
        </w:rPr>
        <w:t>被请求人立即停止侵权行为，停止生产、销售侵权产品，销毁库存产品及生产模具。</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事实与理由：请求人于2019年7月29日向国家知识产权局申请了上述涉案专利，该专利在2020年1月3日被授权公告，专利号为ZL201930407171.X，请求人至今仍享有该专利权。请求人提供了外观设计专利权评价报告。</w:t>
      </w:r>
      <w:r>
        <w:rPr>
          <w:rFonts w:hint="eastAsia" w:ascii="华文仿宋" w:hAnsi="华文仿宋" w:eastAsia="华文仿宋" w:cs="华文仿宋"/>
          <w:sz w:val="32"/>
          <w:szCs w:val="32"/>
        </w:rPr>
        <w:t>2021年11月18日，请求人在</w:t>
      </w:r>
      <w:r>
        <w:rPr>
          <w:rFonts w:hint="eastAsia" w:ascii="华文仿宋" w:hAnsi="华文仿宋" w:eastAsia="华文仿宋" w:cs="华文仿宋"/>
          <w:sz w:val="32"/>
          <w:szCs w:val="32"/>
          <w:lang w:eastAsia="zh-CN"/>
        </w:rPr>
        <w:t>淘宝网上</w:t>
      </w:r>
      <w:r>
        <w:rPr>
          <w:rFonts w:hint="eastAsia" w:ascii="华文仿宋" w:hAnsi="华文仿宋" w:eastAsia="华文仿宋" w:cs="华文仿宋"/>
          <w:sz w:val="32"/>
          <w:szCs w:val="32"/>
        </w:rPr>
        <w:t>购得型号为JY-1500、名称为“室内加热器（暖风机）”的被控产品</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被请求人未经请求人任何的委托、授权或许可，擅自制造、销售、许诺销售侵犯了请求人专利权的产品，给请求人造成了经济损失。</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公司生产的产品同样拥有外观设计专利。该外观设计专利名称为“壁炉”，专利号ZL202030370443.6,由慈溪市久驰电器科技有限公司于2020年7月10日申请，2020年11月27日授权，同意许可给被请求人用于产品的生产、销售等使用。被请求人辩称，其生产的产品与申请人的外观设计专利在外观特征上有明显区别，不构成外观设计专利侵权。区别为：1.其生产的产品手柄形状为椭圆状，涉案专利为圆柱体，且两者大小相差悬殊；2.其产品的底部四个支撑脚为空心喇叭状，且位置上更为突出更为边缘化，而涉案专利支撑脚为实心上大下小圆柱体；3.其产品底部有一排紫外线消毒口，涉案专利中并无此设计。</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当事人围绕请求事项依法提交了证据，我局组织当事人进行了举证和质证。对当事人无异议的证据，我局予以确认并在卷佐证。</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根据当事人陈述和经审查确认的证据，我局认定事实如下：</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涉案外观设计专利的专利号为ZL201930407171.X，名称“取暖器（PTC火焰）”，该专利申请日为2019年7月29日，授权公告日为2020年1月3日，该专利现处于法律保护有效期内。外观设计专利权评价报告结论为：全部外观设计未发现存在不符合授予专利权条件的缺陷。</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根据已查明的事实，结合请求方与被请求方诉请和庭审内容，本案的争议焦点为：1.被请求人提供的专利是否可以有效保护涉案产品；2.涉案专利产品是否落入涉案专利的保护范围。</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关于争议焦点1，被请求人提供</w:t>
      </w:r>
      <w:r>
        <w:rPr>
          <w:rFonts w:hint="eastAsia" w:ascii="华文仿宋" w:hAnsi="华文仿宋" w:eastAsia="华文仿宋" w:cs="华文仿宋"/>
          <w:sz w:val="32"/>
          <w:szCs w:val="32"/>
          <w:lang w:val="en-US" w:eastAsia="zh-CN"/>
        </w:rPr>
        <w:t>的名称为“壁炉”的外观设计专利的申请日为2020年7月10日，晚于请求人提供的外观设计专利的申请日，故</w:t>
      </w:r>
      <w:r>
        <w:rPr>
          <w:rFonts w:hint="default" w:ascii="华文仿宋" w:hAnsi="华文仿宋" w:eastAsia="华文仿宋" w:cs="华文仿宋"/>
          <w:sz w:val="32"/>
          <w:szCs w:val="32"/>
          <w:lang w:val="en-US" w:eastAsia="zh-CN"/>
        </w:rPr>
        <w:t>本局不予采纳。</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关于争议焦点2，经涉案专利权设计与被控侵权产品比对，整体观察、综合判断，我局认定：涉案专利与被控侵权产品相比，构成相似，不同点在于</w:t>
      </w:r>
      <w:r>
        <w:rPr>
          <w:rFonts w:hint="eastAsia" w:ascii="华文仿宋" w:hAnsi="华文仿宋" w:eastAsia="华文仿宋" w:cs="华文仿宋"/>
          <w:sz w:val="32"/>
          <w:szCs w:val="32"/>
          <w:lang w:val="en-US" w:eastAsia="zh-CN"/>
        </w:rPr>
        <w:t>手柄和支撑脚的形状</w:t>
      </w:r>
      <w:r>
        <w:rPr>
          <w:rFonts w:hint="default" w:ascii="华文仿宋" w:hAnsi="华文仿宋" w:eastAsia="华文仿宋" w:cs="华文仿宋"/>
          <w:sz w:val="32"/>
          <w:szCs w:val="32"/>
          <w:lang w:val="en-US" w:eastAsia="zh-CN"/>
        </w:rPr>
        <w:t>不同，此不同点属于局部细微差别，对于普通消费者来说此细微差别不会对外观设计的整体视觉效果产生显著影响，被控侵权产品与本案专利在整体视觉效果上无实质性的差异。被控侵权产品落入本案专利的保护范围。</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我局已经对该专利侵权纠纷进行了调解，双方无法达成一致意见。依据《中华人民共和国专利法》第十一条、第六十四、六十五条，《专利行政执法办法》第四十三条的规定，我局作出处理决定如下：</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被请求人构成侵犯专利号为ZL201930407171.X，名称“取暖器（PTC火焰）”的外观设计专利权。责令被请求人立即停止制造、销售、许诺销售涉案专利产品的行为，如果被请求人留存有制造侵权产品的专用设备、模具的，应立即销毁，不得销售、使用尚未售出的侵权产品或者以其他任何形式将其投放市场。</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双方当事人对本处理决定不服的，可根据《中华人民共和国专利法》第六十</w:t>
      </w:r>
      <w:r>
        <w:rPr>
          <w:rFonts w:hint="eastAsia" w:ascii="华文仿宋" w:hAnsi="华文仿宋" w:eastAsia="华文仿宋" w:cs="华文仿宋"/>
          <w:sz w:val="32"/>
          <w:szCs w:val="32"/>
          <w:lang w:val="en-US" w:eastAsia="zh-CN"/>
        </w:rPr>
        <w:t>五</w:t>
      </w:r>
      <w:r>
        <w:rPr>
          <w:rFonts w:hint="default" w:ascii="华文仿宋" w:hAnsi="华文仿宋" w:eastAsia="华文仿宋" w:cs="华文仿宋"/>
          <w:sz w:val="32"/>
          <w:szCs w:val="32"/>
          <w:lang w:val="en-US" w:eastAsia="zh-CN"/>
        </w:rPr>
        <w:t>条的规定，自收到本处理决定书之日起15日内，向浙江省宁波市中级人民法院起诉。期满不起诉又不履行行政裁决的，本局将申请人民法院强制执行。</w:t>
      </w:r>
    </w:p>
    <w:p>
      <w:pPr>
        <w:ind w:firstLine="640"/>
        <w:rPr>
          <w:rFonts w:hint="default" w:ascii="华文仿宋" w:hAnsi="华文仿宋" w:eastAsia="华文仿宋" w:cs="华文仿宋"/>
          <w:sz w:val="32"/>
          <w:szCs w:val="32"/>
          <w:lang w:val="en-US" w:eastAsia="zh-CN"/>
        </w:rPr>
      </w:pP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w:t>
      </w:r>
      <w:r>
        <w:rPr>
          <w:rFonts w:hint="default" w:ascii="华文仿宋" w:hAnsi="华文仿宋" w:eastAsia="华文仿宋" w:cs="华文仿宋"/>
          <w:sz w:val="32"/>
          <w:szCs w:val="32"/>
          <w:lang w:val="en-US" w:eastAsia="zh-CN"/>
        </w:rPr>
        <w:t>市市场监督管理局（知识产权局）</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地址：</w:t>
      </w:r>
      <w:r>
        <w:rPr>
          <w:rFonts w:hint="eastAsia" w:ascii="华文仿宋" w:hAnsi="华文仿宋" w:eastAsia="华文仿宋" w:cs="华文仿宋"/>
          <w:sz w:val="32"/>
          <w:szCs w:val="32"/>
        </w:rPr>
        <w:t>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邮编：315</w:t>
      </w:r>
      <w:r>
        <w:rPr>
          <w:rFonts w:hint="eastAsia" w:ascii="华文仿宋" w:hAnsi="华文仿宋" w:eastAsia="华文仿宋" w:cs="华文仿宋"/>
          <w:sz w:val="32"/>
          <w:szCs w:val="32"/>
          <w:lang w:val="en-US" w:eastAsia="zh-CN"/>
        </w:rPr>
        <w:t>3</w:t>
      </w:r>
      <w:r>
        <w:rPr>
          <w:rFonts w:hint="default" w:ascii="华文仿宋" w:hAnsi="华文仿宋" w:eastAsia="华文仿宋" w:cs="华文仿宋"/>
          <w:sz w:val="32"/>
          <w:szCs w:val="32"/>
          <w:lang w:val="en-US" w:eastAsia="zh-CN"/>
        </w:rPr>
        <w:t>00</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联系电话：0574-</w:t>
      </w:r>
      <w:r>
        <w:rPr>
          <w:rFonts w:hint="eastAsia" w:ascii="华文仿宋" w:hAnsi="华文仿宋" w:eastAsia="华文仿宋" w:cs="华文仿宋"/>
          <w:sz w:val="32"/>
          <w:szCs w:val="32"/>
          <w:lang w:val="en-US" w:eastAsia="zh-CN"/>
        </w:rPr>
        <w:t>63026041</w:t>
      </w:r>
    </w:p>
    <w:p>
      <w:pPr>
        <w:ind w:firstLine="640"/>
        <w:rPr>
          <w:rFonts w:hint="eastAsia"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合议组长：</w:t>
      </w:r>
      <w:r>
        <w:rPr>
          <w:rFonts w:hint="eastAsia" w:ascii="华文仿宋" w:hAnsi="华文仿宋" w:eastAsia="华文仿宋" w:cs="华文仿宋"/>
          <w:sz w:val="32"/>
          <w:szCs w:val="32"/>
          <w:lang w:val="en-US" w:eastAsia="zh-CN"/>
        </w:rPr>
        <w:t>周胜杰</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审 理 员：</w:t>
      </w:r>
      <w:r>
        <w:rPr>
          <w:rFonts w:hint="eastAsia" w:ascii="华文仿宋" w:hAnsi="华文仿宋" w:eastAsia="华文仿宋" w:cs="华文仿宋"/>
          <w:sz w:val="32"/>
          <w:szCs w:val="32"/>
          <w:lang w:val="en-US" w:eastAsia="zh-CN"/>
        </w:rPr>
        <w:t>虞众</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审 理 员：</w:t>
      </w:r>
      <w:r>
        <w:rPr>
          <w:rFonts w:hint="eastAsia" w:ascii="华文仿宋" w:hAnsi="华文仿宋" w:eastAsia="华文仿宋" w:cs="华文仿宋"/>
          <w:sz w:val="32"/>
          <w:szCs w:val="32"/>
          <w:lang w:val="en-US" w:eastAsia="zh-CN"/>
        </w:rPr>
        <w:t>胡剑朔</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 xml:space="preserve">书 记 员：杨子慧 </w:t>
      </w:r>
    </w:p>
    <w:p>
      <w:pPr>
        <w:ind w:firstLine="640"/>
        <w:rPr>
          <w:rFonts w:hint="default" w:ascii="华文仿宋" w:hAnsi="华文仿宋" w:eastAsia="华文仿宋" w:cs="华文仿宋"/>
          <w:sz w:val="32"/>
          <w:szCs w:val="32"/>
          <w:lang w:val="en-US" w:eastAsia="zh-CN"/>
        </w:rPr>
      </w:pPr>
    </w:p>
    <w:p>
      <w:pPr>
        <w:ind w:firstLine="640"/>
        <w:rPr>
          <w:rFonts w:hint="default" w:ascii="华文仿宋" w:hAnsi="华文仿宋" w:eastAsia="华文仿宋" w:cs="华文仿宋"/>
          <w:sz w:val="32"/>
          <w:szCs w:val="32"/>
          <w:lang w:val="en-US" w:eastAsia="zh-CN"/>
        </w:rPr>
      </w:pPr>
    </w:p>
    <w:p>
      <w:pPr>
        <w:ind w:firstLine="3846" w:firstLineChars="1202"/>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慈溪市</w:t>
      </w:r>
      <w:r>
        <w:rPr>
          <w:rFonts w:hint="default" w:ascii="华文仿宋" w:hAnsi="华文仿宋" w:eastAsia="华文仿宋" w:cs="华文仿宋"/>
          <w:sz w:val="32"/>
          <w:szCs w:val="32"/>
          <w:lang w:val="en-US" w:eastAsia="zh-CN"/>
        </w:rPr>
        <w:t>知识产权局（盖章）</w:t>
      </w:r>
    </w:p>
    <w:p>
      <w:pPr>
        <w:ind w:firstLine="4166" w:firstLineChars="1302"/>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202</w:t>
      </w:r>
      <w:r>
        <w:rPr>
          <w:rFonts w:hint="eastAsia" w:ascii="华文仿宋" w:hAnsi="华文仿宋" w:eastAsia="华文仿宋" w:cs="华文仿宋"/>
          <w:sz w:val="32"/>
          <w:szCs w:val="32"/>
          <w:lang w:val="en-US" w:eastAsia="zh-CN"/>
        </w:rPr>
        <w:t>2</w:t>
      </w:r>
      <w:r>
        <w:rPr>
          <w:rFonts w:hint="default" w:ascii="华文仿宋" w:hAnsi="华文仿宋" w:eastAsia="华文仿宋" w:cs="华文仿宋"/>
          <w:sz w:val="32"/>
          <w:szCs w:val="32"/>
          <w:lang w:val="en-US" w:eastAsia="zh-CN"/>
        </w:rPr>
        <w:t>年</w:t>
      </w:r>
      <w:r>
        <w:rPr>
          <w:rFonts w:hint="eastAsia" w:ascii="华文仿宋" w:hAnsi="华文仿宋" w:eastAsia="华文仿宋" w:cs="华文仿宋"/>
          <w:sz w:val="32"/>
          <w:szCs w:val="32"/>
          <w:lang w:val="en-US" w:eastAsia="zh-CN"/>
        </w:rPr>
        <w:t>2</w:t>
      </w:r>
      <w:r>
        <w:rPr>
          <w:rFonts w:hint="default" w:ascii="华文仿宋" w:hAnsi="华文仿宋" w:eastAsia="华文仿宋" w:cs="华文仿宋"/>
          <w:sz w:val="32"/>
          <w:szCs w:val="32"/>
          <w:lang w:val="en-US" w:eastAsia="zh-CN"/>
        </w:rPr>
        <w:t>月1</w:t>
      </w:r>
      <w:r>
        <w:rPr>
          <w:rFonts w:hint="eastAsia" w:ascii="华文仿宋" w:hAnsi="华文仿宋" w:eastAsia="华文仿宋" w:cs="华文仿宋"/>
          <w:sz w:val="32"/>
          <w:szCs w:val="32"/>
          <w:lang w:val="en-US" w:eastAsia="zh-CN"/>
        </w:rPr>
        <w:t>4</w:t>
      </w:r>
      <w:r>
        <w:rPr>
          <w:rFonts w:hint="default" w:ascii="华文仿宋" w:hAnsi="华文仿宋" w:eastAsia="华文仿宋" w:cs="华文仿宋"/>
          <w:sz w:val="32"/>
          <w:szCs w:val="32"/>
          <w:lang w:val="en-US" w:eastAsia="zh-CN"/>
        </w:rPr>
        <w:t>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附法律法规：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中华人民共和国专利法第十一条：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 外观设计专利权被授予后，任何单位或者个人未经专利权人许可，都不得实施其专利，即不得为生产经营目的制造、许诺销售、销售、进口其外观设计专利产品。</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中华人民共和国专利法第六十四条：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发明或者实用新型专利权的保护范围以其权利要求的内容为准，说明书及附图可以用于解释权利要求的内容。</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外观设计专利权的保护范围以表示在图片或者照片中的该产品的外观设计为准，简要说明可以用于解释图片或者照片所表示的该产品的外观设计。</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中华人民共和国专利法第六十五条：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国家知识产权局专利行政执法办法第四十三条：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（四）侵权人许诺销售专利侵权产品或者依照专利方法直接获得的侵权产品的，责令其立即停止许诺销售行为，消除影响，并且不得进行任何实际销售行为；</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（六）责令侵权的参展方采取从展会上撤出侵权展品、销毁或者封存相应的宣传材料、更换或遮盖相应的展板等撤展措施；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七）停止侵权行为的其他必要措施。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95FA4"/>
    <w:rsid w:val="075F26C1"/>
    <w:rsid w:val="07F767BA"/>
    <w:rsid w:val="085E3C58"/>
    <w:rsid w:val="09B66422"/>
    <w:rsid w:val="09DE131B"/>
    <w:rsid w:val="0AF7548F"/>
    <w:rsid w:val="0B5F6B29"/>
    <w:rsid w:val="0B790B20"/>
    <w:rsid w:val="0C885FC3"/>
    <w:rsid w:val="0D0C6095"/>
    <w:rsid w:val="1184698E"/>
    <w:rsid w:val="11AF0604"/>
    <w:rsid w:val="152C4024"/>
    <w:rsid w:val="158E7297"/>
    <w:rsid w:val="16A66965"/>
    <w:rsid w:val="18827C51"/>
    <w:rsid w:val="1B2E5898"/>
    <w:rsid w:val="1CCE250C"/>
    <w:rsid w:val="1F355035"/>
    <w:rsid w:val="20CB38B4"/>
    <w:rsid w:val="230040D2"/>
    <w:rsid w:val="23DD71F6"/>
    <w:rsid w:val="2475441E"/>
    <w:rsid w:val="2490426B"/>
    <w:rsid w:val="272F0D77"/>
    <w:rsid w:val="274D292F"/>
    <w:rsid w:val="2D4F6685"/>
    <w:rsid w:val="2D5F49EC"/>
    <w:rsid w:val="2E841CA9"/>
    <w:rsid w:val="31E04532"/>
    <w:rsid w:val="32B50D76"/>
    <w:rsid w:val="333A4686"/>
    <w:rsid w:val="3659267C"/>
    <w:rsid w:val="36D33D5B"/>
    <w:rsid w:val="37CE346A"/>
    <w:rsid w:val="38F01221"/>
    <w:rsid w:val="39A75AD0"/>
    <w:rsid w:val="3A993127"/>
    <w:rsid w:val="3AF81A54"/>
    <w:rsid w:val="3BA77312"/>
    <w:rsid w:val="3BFD6910"/>
    <w:rsid w:val="3CE32B80"/>
    <w:rsid w:val="3CE37ADE"/>
    <w:rsid w:val="3E441C2E"/>
    <w:rsid w:val="3EB30040"/>
    <w:rsid w:val="3EC62652"/>
    <w:rsid w:val="3EC77406"/>
    <w:rsid w:val="40127181"/>
    <w:rsid w:val="410214DA"/>
    <w:rsid w:val="41EC7D7B"/>
    <w:rsid w:val="45B00309"/>
    <w:rsid w:val="47BD7906"/>
    <w:rsid w:val="480B558D"/>
    <w:rsid w:val="497A169C"/>
    <w:rsid w:val="4A826EEE"/>
    <w:rsid w:val="4AC75A1F"/>
    <w:rsid w:val="4B8A1606"/>
    <w:rsid w:val="4BD571FE"/>
    <w:rsid w:val="4C775F54"/>
    <w:rsid w:val="4D33668B"/>
    <w:rsid w:val="4F7B604C"/>
    <w:rsid w:val="4F9B202B"/>
    <w:rsid w:val="51100A30"/>
    <w:rsid w:val="569C753A"/>
    <w:rsid w:val="586B579E"/>
    <w:rsid w:val="59D163CA"/>
    <w:rsid w:val="5B510165"/>
    <w:rsid w:val="5DC676F8"/>
    <w:rsid w:val="5DE945D6"/>
    <w:rsid w:val="5F1A17CC"/>
    <w:rsid w:val="614917BE"/>
    <w:rsid w:val="62224762"/>
    <w:rsid w:val="6264142D"/>
    <w:rsid w:val="64893DC5"/>
    <w:rsid w:val="64AA5A3C"/>
    <w:rsid w:val="65FA03A9"/>
    <w:rsid w:val="66997988"/>
    <w:rsid w:val="69AB2A58"/>
    <w:rsid w:val="6A59735A"/>
    <w:rsid w:val="6A966C8A"/>
    <w:rsid w:val="6BBA1BDA"/>
    <w:rsid w:val="6C0D30A2"/>
    <w:rsid w:val="6D351B25"/>
    <w:rsid w:val="6E5204D7"/>
    <w:rsid w:val="6F306A5A"/>
    <w:rsid w:val="70EB542C"/>
    <w:rsid w:val="722A4D76"/>
    <w:rsid w:val="74390F52"/>
    <w:rsid w:val="74634C84"/>
    <w:rsid w:val="75A52D36"/>
    <w:rsid w:val="773D4F4E"/>
    <w:rsid w:val="775056CC"/>
    <w:rsid w:val="77A21137"/>
    <w:rsid w:val="7A28166F"/>
    <w:rsid w:val="7C535A1B"/>
    <w:rsid w:val="7CCB61B7"/>
    <w:rsid w:val="7F2B4A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165</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whr.NBKJJ-WHR</dc:creator>
  <cp:lastModifiedBy>幻云秋风</cp:lastModifiedBy>
  <dcterms:modified xsi:type="dcterms:W3CDTF">2023-08-31T08:27:41Z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63903B5E563B426DA13C41AC101E4357</vt:lpwstr>
  </property>
</Properties>
</file>