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bookmarkStart w:id="0" w:name="_GoBack"/>
      <w:bookmarkEnd w:id="0"/>
    </w:p>
    <w:tbl>
      <w:tblPr>
        <w:tblStyle w:val="4"/>
        <w:tblW w:w="14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22"/>
        <w:gridCol w:w="910"/>
        <w:gridCol w:w="4468"/>
        <w:gridCol w:w="1749"/>
        <w:gridCol w:w="1724"/>
        <w:gridCol w:w="3550"/>
        <w:gridCol w:w="11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rPr>
        <w:tc>
          <w:tcPr>
            <w:tcW w:w="1448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spacing w:val="0"/>
                <w:w w:val="100"/>
                <w:kern w:val="0"/>
                <w:position w:val="0"/>
                <w:sz w:val="44"/>
                <w:szCs w:val="44"/>
                <w:u w:val="none"/>
                <w:shd w:val="clear" w:color="auto" w:fill="auto"/>
                <w:lang w:val="en-US" w:eastAsia="zh-CN" w:bidi="ar"/>
              </w:rPr>
            </w:pPr>
            <w:r>
              <w:rPr>
                <w:rFonts w:hint="eastAsia" w:ascii="方正小标宋简体" w:hAnsi="方正小标宋简体" w:eastAsia="方正小标宋简体" w:cs="方正小标宋简体"/>
                <w:i w:val="0"/>
                <w:color w:val="000000"/>
                <w:spacing w:val="0"/>
                <w:w w:val="100"/>
                <w:kern w:val="0"/>
                <w:position w:val="0"/>
                <w:sz w:val="44"/>
                <w:szCs w:val="44"/>
                <w:u w:val="none"/>
                <w:shd w:val="clear" w:color="auto" w:fill="auto"/>
                <w:lang w:val="en-US" w:eastAsia="zh-CN" w:bidi="ar"/>
              </w:rPr>
              <w:t>全国文明城市创建工作责任分解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9"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spacing w:val="0"/>
                <w:w w:val="100"/>
                <w:kern w:val="0"/>
                <w:position w:val="0"/>
                <w:sz w:val="32"/>
                <w:szCs w:val="32"/>
                <w:u w:val="none"/>
                <w:shd w:val="clear" w:color="auto" w:fill="auto"/>
                <w:lang w:val="en-US" w:eastAsia="zh-CN" w:bidi="ar"/>
              </w:rPr>
              <w:t>（一）台账资料工作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指标名称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测评内容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测评标准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具体要求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总任务数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牵头单位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6"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Ⅱ-1</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习近平新时代中国特色社会主义思想学习宣传教育</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Ⅲ-1</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抓好党员干部理论武装</w:t>
            </w:r>
          </w:p>
        </w:tc>
        <w:tc>
          <w:tcPr>
            <w:tcW w:w="4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 把学习习近平新时代中国特色社会主义思想作为党委和政府首要政治任务，作为党委（党组）理论学习中心组学习主题主线，面向党员干部开展多形式、分层次、全覆盖的学习培训，在党员干部中开展党史学习教育，用习近平新时代中国特色社会主义思想武装全党、教育人民、指导实践，引导党员干部增强“四个意识”、坚定“四个自信”、做到“两个维护”，提高政治判断力、政治领悟力、政治执行力，在思想上政治上行动上同以习近平同志为核心的党中央保持高度一致；</w:t>
            </w:r>
          </w:p>
        </w:tc>
        <w:tc>
          <w:tcPr>
            <w:tcW w:w="1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22"/>
                <w:rFonts w:hAnsi="宋体"/>
                <w:lang w:val="en-US" w:eastAsia="zh-CN" w:bidi="ar"/>
              </w:rPr>
              <w:t>④提供本县（市）在党员干部中开展党史学习教育的情况</w:t>
            </w:r>
            <w:r>
              <w:rPr>
                <w:rStyle w:val="23"/>
                <w:rFonts w:hAnsi="宋体"/>
                <w:lang w:val="en-US" w:eastAsia="zh-CN" w:bidi="ar"/>
              </w:rPr>
              <w:t>（图片资料）</w:t>
            </w:r>
            <w:r>
              <w:rPr>
                <w:rStyle w:val="22"/>
                <w:rFonts w:hAnsi="宋体"/>
                <w:lang w:val="en-US" w:eastAsia="zh-CN" w:bidi="ar"/>
              </w:rPr>
              <w:t>。</w:t>
            </w:r>
          </w:p>
        </w:tc>
        <w:tc>
          <w:tcPr>
            <w:tcW w:w="17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2个条目需提供说明报告；</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3个条目需提供图片资料；</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2个条目需提供部门评价。</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组织人事科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39"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Ⅱ-2</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理想信念教育</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Ⅲ-3</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深化中国特色社会主义和中国梦学习宣传教育</w:t>
            </w:r>
          </w:p>
        </w:tc>
        <w:tc>
          <w:tcPr>
            <w:tcW w:w="4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大力弘扬以爱国主义为核心的民族精神和以改革创新为核心的时代精神，弘扬革命文化和社会主义先进文化，弘扬党和人民在各个历史时期奋斗中形成的伟大精神，在全社会开展党史、新中国史、改革开放史、社会主义发展史学习教育，加强成就宣传和形势政策教育，引导人们牢固树立共产主义远大理想和中国特色社会主义共同理想，投身全面建设社会主义现代化国家的生动实践，凝聚奋进新征程的强大精神力量。</w:t>
            </w:r>
          </w:p>
        </w:tc>
        <w:tc>
          <w:tcPr>
            <w:tcW w:w="1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22"/>
                <w:rFonts w:hAnsi="宋体"/>
                <w:lang w:val="en-US" w:eastAsia="zh-CN" w:bidi="ar"/>
              </w:rPr>
              <w:t>②提供本县（市）在全社会开展党史、新中国史、改革开放史、社会主义发展史学习教育的情况</w:t>
            </w:r>
            <w:r>
              <w:rPr>
                <w:rStyle w:val="23"/>
                <w:rFonts w:hAnsi="宋体"/>
                <w:lang w:val="en-US" w:eastAsia="zh-CN" w:bidi="ar"/>
              </w:rPr>
              <w:t>（图片资料）</w:t>
            </w:r>
            <w:r>
              <w:rPr>
                <w:rStyle w:val="22"/>
                <w:rFonts w:hAnsi="宋体"/>
                <w:lang w:val="en-US" w:eastAsia="zh-CN" w:bidi="ar"/>
              </w:rPr>
              <w:t>；③提供本县（市）加强成就宣传和形势政策教育、引导干部群众投身全面建设社会主义现代化国家的生动实践的情况（图片资料）。</w:t>
            </w:r>
          </w:p>
        </w:tc>
        <w:tc>
          <w:tcPr>
            <w:tcW w:w="17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组织人事科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2"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Ⅱ-20</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城市市容市貌</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Ⅲ-49</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建设优美环境</w:t>
            </w:r>
          </w:p>
        </w:tc>
        <w:tc>
          <w:tcPr>
            <w:tcW w:w="4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城市公共场所无积存垃圾、纸屑、烟蒂、污物现象，无乱张贴乱涂写乱刻画现象，建筑物外立面整体干净、无大面积破损污损，垃圾收集站、垃圾转运站、公共卫生间设施干净，周围无垃圾污水污迹、无明显异味，推进生活垃圾分类投放、分类收集、分类运输、分类处理。</w:t>
            </w:r>
          </w:p>
        </w:tc>
        <w:tc>
          <w:tcPr>
            <w:tcW w:w="1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22"/>
                <w:rFonts w:hAnsi="宋体"/>
                <w:lang w:val="en-US" w:eastAsia="zh-CN" w:bidi="ar"/>
              </w:rPr>
              <w:t>提供本县（市）推进生活垃圾分类投放、分类收集、分类运输、分类处理的</w:t>
            </w:r>
            <w:r>
              <w:rPr>
                <w:rStyle w:val="23"/>
                <w:rFonts w:hAnsi="宋体"/>
                <w:lang w:val="en-US" w:eastAsia="zh-CN" w:bidi="ar"/>
              </w:rPr>
              <w:t>说明报告</w:t>
            </w:r>
            <w:r>
              <w:rPr>
                <w:rStyle w:val="22"/>
                <w:rFonts w:hAnsi="宋体"/>
                <w:lang w:val="en-US" w:eastAsia="zh-CN" w:bidi="ar"/>
              </w:rPr>
              <w:t>。</w:t>
            </w:r>
          </w:p>
        </w:tc>
        <w:tc>
          <w:tcPr>
            <w:tcW w:w="17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直属中队、环卫处、垃圾分类监管科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9"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Ⅱ-24</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公共安全体系建设</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Ⅲ-56</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加强公共安全保障</w:t>
            </w:r>
          </w:p>
        </w:tc>
        <w:tc>
          <w:tcPr>
            <w:tcW w:w="4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加强城市生命线系统建设，推进海绵城市、韧性城市建设，建（构）筑物及依附于建（构）筑物的玻璃幕墙、展板等安全牢固、完好无损，户外广告设施和招牌设置牢固可靠，窨井盖完好率≥98%，年度“生命线”事故数逐年下降。</w:t>
            </w:r>
          </w:p>
        </w:tc>
        <w:tc>
          <w:tcPr>
            <w:tcW w:w="1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22"/>
                <w:rFonts w:hAnsi="宋体"/>
                <w:lang w:val="en-US" w:eastAsia="zh-CN" w:bidi="ar"/>
              </w:rPr>
              <w:t>②省（区、市）文明办征求省（区、市）或县（市）所在地级以上城市主管部门意见，对本县（市）窨井盖完好率作出评价</w:t>
            </w:r>
            <w:r>
              <w:rPr>
                <w:rStyle w:val="23"/>
                <w:rFonts w:hAnsi="宋体"/>
                <w:lang w:val="en-US" w:eastAsia="zh-CN" w:bidi="ar"/>
              </w:rPr>
              <w:t>（部门评价）</w:t>
            </w:r>
            <w:r>
              <w:rPr>
                <w:rStyle w:val="22"/>
                <w:rFonts w:hAnsi="宋体"/>
                <w:lang w:val="en-US" w:eastAsia="zh-CN" w:bidi="ar"/>
              </w:rPr>
              <w:t>。</w:t>
            </w:r>
          </w:p>
        </w:tc>
        <w:tc>
          <w:tcPr>
            <w:tcW w:w="17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6"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Ⅱ-27</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乡村振兴</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Ⅲ-68</w:t>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br w:type="textWrapping"/>
            </w: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统筹城乡公共资源均衡配置和公共基础设施建设管护</w:t>
            </w:r>
          </w:p>
        </w:tc>
        <w:tc>
          <w:tcPr>
            <w:tcW w:w="4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实施农村人居环境整治提升五年行动，开展美丽宜居村庄和美丽庭院示范创建活动，分类有序推进农村厕所革命，有效治理农村污水、黑臭水体及面源污染，积极开展农村生活垃圾分类和资源化利用，健全农村生活垃圾收运处置体系，辖区内90%以上行政村生活垃圾得到无害化处理，农村自来水普及率≥88%。</w:t>
            </w:r>
          </w:p>
        </w:tc>
        <w:tc>
          <w:tcPr>
            <w:tcW w:w="1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Style w:val="22"/>
                <w:rFonts w:hAnsi="宋体"/>
                <w:lang w:val="en-US" w:eastAsia="zh-CN" w:bidi="ar"/>
              </w:rPr>
              <w:t>②提供本县（市）有效治理农村面源污染，积极开展农村生活垃圾分类和资源化利用的</w:t>
            </w:r>
            <w:r>
              <w:rPr>
                <w:rStyle w:val="23"/>
                <w:rFonts w:hAnsi="宋体"/>
                <w:lang w:val="en-US" w:eastAsia="zh-CN" w:bidi="ar"/>
              </w:rPr>
              <w:t>说明报告</w:t>
            </w:r>
            <w:r>
              <w:rPr>
                <w:rStyle w:val="22"/>
                <w:rFonts w:hAnsi="宋体"/>
                <w:lang w:val="en-US" w:eastAsia="zh-CN" w:bidi="ar"/>
              </w:rPr>
              <w:t>；③省（区、市）文明办征求省（区、市）或县（市）所在地级以上城市主管部门意见，对本县（市）健全农村生活垃圾收运处置体系，市辖区内垃圾得到治理的行政村占比情况作出评价（部门评价）。</w:t>
            </w:r>
          </w:p>
        </w:tc>
        <w:tc>
          <w:tcPr>
            <w:tcW w:w="17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环卫处、垃圾分类监管科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spacing w:val="0"/>
                <w:w w:val="100"/>
                <w:kern w:val="0"/>
                <w:position w:val="0"/>
                <w:sz w:val="32"/>
                <w:szCs w:val="32"/>
                <w:u w:val="none"/>
                <w:shd w:val="clear" w:color="auto" w:fill="auto"/>
                <w:lang w:val="en-US" w:eastAsia="zh-CN" w:bidi="ar"/>
              </w:rPr>
              <w:t>（二）实地创建工作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点位区域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序号</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创建要求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牵头科室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责任科室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主次干道、商业大街</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主要街道每隔200米至少有1处能够看到的公益广告。</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无乱扔杂物、车窗抛物现象；无随地吐痰、打喷嚏咳嗽 不掩口鼻现象；无损坏公共设施现象；无占用和堵塞消防通道现象；无不文明养宠现象；无躺卧公共座椅现象；有序排队，保持适当距离，无插队现象。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垃圾清运及时、分类收集，无纸屑、果皮、塑料袋等垃圾，无卫生死角；无乱张贴乱涂写乱刻画现象；建筑物外立面整体干净、无大面积破损污损；垃圾收集站、垃圾转运站、公共卫生间设施干净，周围无垃圾污水污迹、无明显异味。</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4</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道路路面硬化、排水设施完善，无明显坑洼不平和路面积水；人行步道连续通畅、铺装平整，无松动缺失，无泥土裸露；行人过街、机非分离、人车分离等安全设施配置完整，道路交通护栏、隔离墩无空缺、损坏、移位。</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养护所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5</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广告设施和招牌高度、大小符合标准。</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2"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6</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机动车、非机动车有序规范停放、不占用绿化带、不影响行人通行，共享单车文明使用、 规范停放（属地管理部门在人行道、非机动车道、机动车道旁统一划线，机动车、非机动车、共享单车在线内停放，且不影响正常交通，这种情况不算作违章停车）；无占道经营现象（属地管理部门在商铺门前统一划线，商铺在线内出店摆摊经营，且不影响居民日常生活和正常交通，这种情况不算作占道经营）；无乱搭乱建现象；无流浪乞讨人员滋扰他人、扰乱社会秩序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直属中队、执法协调科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7</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户外广告设施和招牌设置牢固可靠。</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8</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人行道在路口、出入口设有缘石坡道。</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养护所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9</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道路整体清洁，路面呈本色；人行道、路缘石、交通护栏、隔离墩、绿化隔离带保持干净。</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广场公园</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显著位置设置有景观小品类公益广告（长度不小于3米），200米内每隔20米看到1处公益广告，须有文明健康有你有我、核心价值观、未成年人、垃圾分类等主题，公益广告有统一规划设计，内容、色调与周围的城市景观风貌相融合。</w:t>
            </w:r>
          </w:p>
        </w:tc>
        <w:tc>
          <w:tcPr>
            <w:tcW w:w="457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由直属中队负责与住建部门对接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运用多种形式开展文明告知、文明提醒、文明规劝、文明引导（每块绿地有文明提醒文明 规劝文明引导）；无乱涂乱画、攀折花枝和攀爬雕塑、景观等行为，及时劝导出现的不文明行为。</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无乱扔杂物、车窗抛物现象；无随地吐痰、打喷嚏咳嗽不掩口鼻现象；无损坏公共设施现象；无占用和堵塞消防通道现象；无不文明养宠现象；无躺卧公共座椅现象；有序排队，保持适当距离，无插队现象。</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4</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垃圾清运及时、分类收集，无纸屑、果皮、塑料袋等垃圾，无卫生死角；无乱张贴乱涂写乱刻画现象；建筑物外立面整体干净、无大面积破损污损；垃圾收集站、垃圾转运站、公共卫生间设施干净，周围无垃圾污水污迹、无明显异味。</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5</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广告设施和招牌高度、大小符合标准。</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2"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6</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机动车、非机动车有序规范停放、不占用绿化带、不影响行人通行，共享单车文明使用、规范停放（属地管理部门在人行道、非机动车道、机动车道旁统一划线，机动车、非机动车、共享单车在线内停放，且不影响正常交通，这种情况不算作违章停车）；无占道经营现象（属地管理部门在商铺门前统一划线，商铺在线内出店摆摊经营，且不影响居民日常 生活和正常交通，这种情况不算作占道经营）；无乱搭乱建现象；无流浪乞讨人员滋扰他人、扰乱社会秩序现象。</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7</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户外广告设施和招牌设置牢固可靠。</w:t>
            </w:r>
          </w:p>
        </w:tc>
        <w:tc>
          <w:tcPr>
            <w:tcW w:w="45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校园周边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校园门前交通秩序良好；校园及周边环境干净整洁。</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直属中队、环卫处、垃圾分类监管科</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位于建成区之外、属于市辖区范围的乡镇、街道设施</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境卫生干净整洁，垃圾清运及时、分类收集；无违章停车（机动车、非机动车）现象（属地管理部门在人行道、非机动车道、机动车道旁统一划线，机动车、非机动车在线内停放，且不影响正常交通，这种情况不算作违章停车）。</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2"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无占道经营现象（属地管理部门在商铺门前统一划线，商铺在线内出店摆摊经营，且不影响居民日常生活和正常交通，这种情况不算作占道经营）。</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w:t>
            </w:r>
          </w:p>
        </w:tc>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无小广告乱张贴现象；无乱扔杂物、随地吐痰、打喷嚏 咳嗽不掩口鼻现象；无损坏公共设施现象。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4</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公共卫生间保洁及时，无明显异味；无露天焚烧秸秆落叶现象。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5</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主要街道每隔200米至少有1处能够看到的公益广告</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位于建成区之外、属于市辖区范围的行政村、社区</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无明显垃圾堆积、环境脏乱、道路坑洼。</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环卫处、养护所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无争吵谩骂、使用低俗语言现象；无乱扔杂物、随地吐痰、打喷嚏咳嗽不掩口鼻现象。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无损坏公共设施现象；村居内公厕为卫生厕所或无害化厕所；无露天焚烧秸秆落叶现象。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城乡公共卫生间</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设有轮椅通道、扶手或缘石坡道等无障碍设施。</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养护所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至少有1个方便残疾人、老年人、伤病人或孕妇儿童使用的带扶手的坐便器或蹲便器。</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背街小巷</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垃圾清运及时、分类收集,,无积存垃圾、纸屑、烟蒂、污物现象；无乱张贴乱涂写乱刻画现象；建筑物外立面整体干净、无大面积破损污损；垃圾收集站、垃圾转运站、公共卫生设施干净，周围无垃圾污水污迹、无明显异味。</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3"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路路面硬化、排水设施完善，无明显坑洼不平和路面积水；人行步道连续通畅、铺装平整，无松动缺失，无泥土裸露；行人过街、机非分离、人车分离等安全设施配置完整，道路交通护栏、隔离墩无空缺、损坏、移位。</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养护所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2"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机动车、非机动车有序规范停放、不占用绿化带、不影响行人通行，共享单车文明使用、规范停放（属地管理部门在人行道、非机动车道、机动车道旁统一划线，机动车、非机动车、共享单车在线内停放，且不影响正常交通，这种情况不算作违章停车）；无占道经营现象（属地管理部门在商铺门前统一划线，商铺在线内出店摆摊经营，且不影响居民日常生活和正常交通，这种情况不算作占道经营）；无乱搭乱建现象；无流浪乞讨人员滋扰他人、扰乱社会秩序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直属中队、执法协调科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4</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户外广告设施和招牌设置牢固可靠。</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5</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广告设施和招牌高度、大小符合标准。</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马路市场、流动商贩</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属地管理部门在不影响居民日常生活和正常交通情况下划定区域，商贩在划定区域内规范经营，经营设施摆放整齐；环境卫生干净整洁，垃圾清运及时，经营结束后场地无垃圾油污。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城乡结合部</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①无乱扔杂物、车窗抛物现象；②无随地吐痰、打喷 嚏咳嗽不掩口鼻现象；③无损坏公共设施现象；④无占用和堵塞消防通道现象；⑤无不文明养宠现象；⑥无躺卧公共座椅现象；⑦有序排队，保持适当距离，无插队现象。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垃圾清运及时、分类收集，无积存垃圾、纸屑、烟蒂、污物现象；无乱张贴乱涂写乱刻画 现象；建筑物外立面整体干净、无大面积破损污损；垃圾收集站、垃圾转运站、公共卫生 间设施干净，周围无垃圾污水污迹、无明显异味。</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环卫处、直属中队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3</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广告设施和招牌高度、大小符合标准。</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2"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4</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机动车、非机动车有序规范停放、不占用绿化带、不影响行人通行，共享单车文明使用、 规范停放（属地管理部门在人行道、非机动车道、机动车道旁统一划线，机动车、非机动车、共享单车在线内停放，且不影响正常交通，这种情况不算作违章停车）；无占道经营 现象（属地管理部门在商铺门前统一划线，商铺在线内出店摆摊经营，且不影响居民日常生活和正常交通，这种情况不算作占道经营）；无乱搭乱建现象；无流浪乞讨人员滋扰他人、扰乱社会秩序现象。</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直属中队、执法协调科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社区（小区）</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1</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户外广告设施和招牌设置牢固可靠。</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城市管理科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8" w:hRule="atLeast"/>
        </w:trPr>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2"/>
                <w:szCs w:val="22"/>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2</w:t>
            </w:r>
          </w:p>
        </w:tc>
        <w:tc>
          <w:tcPr>
            <w:tcW w:w="8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生活垃圾定点投放、分类投放,有分类垃圾箱（桶）或垃圾分类投放点,垃圾房、箱（桶）完好、整洁;无小广告乱张贴乱涂画。</w:t>
            </w:r>
          </w:p>
        </w:tc>
        <w:tc>
          <w:tcPr>
            <w:tcW w:w="3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垃圾分类监管科、直属中队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spacing w:val="0"/>
                <w:w w:val="100"/>
                <w:kern w:val="0"/>
                <w:position w:val="0"/>
                <w:sz w:val="22"/>
                <w:szCs w:val="22"/>
                <w:u w:val="none"/>
                <w:shd w:val="clear" w:color="auto" w:fill="auto"/>
                <w:lang w:val="en-US" w:eastAsia="zh-CN" w:bidi="ar"/>
              </w:rPr>
              <w:t>各属地中队</w:t>
            </w:r>
          </w:p>
        </w:tc>
      </w:tr>
    </w:tbl>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400" w:firstLineChars="200"/>
        <w:jc w:val="left"/>
        <w:textAlignment w:val="auto"/>
        <w:rPr>
          <w:rFonts w:hint="eastAsia" w:ascii="仿宋_GB2312" w:hAnsi="仿宋_GB2312" w:eastAsia="仿宋_GB2312" w:cs="仿宋_GB2312"/>
          <w:color w:val="000000"/>
          <w:spacing w:val="0"/>
          <w:w w:val="100"/>
          <w:position w:val="0"/>
          <w:sz w:val="20"/>
          <w:szCs w:val="20"/>
        </w:rPr>
      </w:pPr>
    </w:p>
    <w:p>
      <w:pPr>
        <w:rPr>
          <w:rFonts w:hint="eastAsia"/>
        </w:rPr>
        <w:sectPr>
          <w:footerReference r:id="rId5" w:type="default"/>
          <w:footerReference r:id="rId6" w:type="even"/>
          <w:footnotePr>
            <w:numFmt w:val="decimal"/>
          </w:footnotePr>
          <w:pgSz w:w="16840" w:h="11900" w:orient="landscape"/>
          <w:pgMar w:top="1530" w:right="1133" w:bottom="1592" w:left="1018" w:header="0" w:footer="3" w:gutter="0"/>
          <w:pgNumType w:fmt="numberInDash"/>
          <w:cols w:space="720" w:num="1"/>
          <w:rtlGutter w:val="0"/>
          <w:docGrid w:linePitch="360" w:charSpace="0"/>
        </w:sectPr>
      </w:pPr>
    </w:p>
    <w:p>
      <w:pPr>
        <w:rPr>
          <w:lang w:val="en-US" w:eastAsia="en-US"/>
        </w:rPr>
      </w:pPr>
    </w:p>
    <w:sectPr>
      <w:footerReference r:id="rId7" w:type="default"/>
      <w:footerReference r:id="rId8" w:type="even"/>
      <w:footnotePr>
        <w:numFmt w:val="decimal"/>
      </w:footnotePr>
      <w:pgSz w:w="11900" w:h="16840"/>
      <w:pgMar w:top="1440" w:right="1800" w:bottom="1440" w:left="1800" w:header="0" w:footer="3" w:gutter="0"/>
      <w:pgNumType w:fmt="numberInDash"/>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auto"/>
    <w:pitch w:val="default"/>
    <w:sig w:usb0="A00002FF" w:usb1="38CFFCFA" w:usb2="00000016" w:usb3="00000000" w:csb0="00100001"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- 13 -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- 13 -</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- 12 -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- 12 -</w:t>
                    </w:r>
                    <w:r>
                      <w:rPr>
                        <w:rFonts w:hint="eastAsia" w:eastAsia="宋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- 1 -</w:t>
                    </w:r>
                    <w:r>
                      <w:rPr>
                        <w:rFonts w:hint="eastAsia" w:eastAsia="宋体"/>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- 22 -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- 22 -</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rsids>
    <w:rsidRoot w:val="00000000"/>
    <w:rsid w:val="14AB4BF8"/>
    <w:rsid w:val="19803344"/>
    <w:rsid w:val="1E686E02"/>
    <w:rsid w:val="20D40B20"/>
    <w:rsid w:val="20FB053F"/>
    <w:rsid w:val="363127ED"/>
    <w:rsid w:val="41AA0FFA"/>
    <w:rsid w:val="5E602F64"/>
    <w:rsid w:val="68514B37"/>
    <w:rsid w:val="6EA90FD9"/>
    <w:rsid w:val="706525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MingLiU_HKSCS" w:hAnsi="MingLiU_HKSCS" w:eastAsia="MingLiU_HKSCS" w:cs="MingLiU_HKSCS"/>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MingLiU_HKSCS" w:hAnsi="MingLiU_HKSCS" w:eastAsia="MingLiU_HKSCS" w:cs="MingLiU_HKSCS"/>
      <w:color w:val="000000"/>
      <w:spacing w:val="0"/>
      <w:w w:val="100"/>
      <w:position w:val="0"/>
      <w:sz w:val="24"/>
      <w:szCs w:val="24"/>
      <w:shd w:val="clear" w:color="auto" w:fill="auto"/>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正文文本 (5)_"/>
    <w:basedOn w:val="5"/>
    <w:link w:val="7"/>
    <w:qFormat/>
    <w:uiPriority w:val="0"/>
    <w:rPr>
      <w:rFonts w:ascii="宋体" w:hAnsi="宋体" w:eastAsia="宋体" w:cs="宋体"/>
      <w:color w:val="FD0000"/>
      <w:sz w:val="88"/>
      <w:szCs w:val="88"/>
      <w:u w:val="none"/>
      <w:shd w:val="clear" w:color="auto" w:fill="auto"/>
    </w:rPr>
  </w:style>
  <w:style w:type="paragraph" w:customStyle="1" w:styleId="7">
    <w:name w:val="正文文本 (5)"/>
    <w:basedOn w:val="1"/>
    <w:link w:val="6"/>
    <w:qFormat/>
    <w:uiPriority w:val="0"/>
    <w:pPr>
      <w:widowControl w:val="0"/>
      <w:shd w:val="clear" w:color="auto" w:fill="auto"/>
      <w:spacing w:after="1180"/>
      <w:ind w:firstLine="200"/>
    </w:pPr>
    <w:rPr>
      <w:rFonts w:ascii="宋体" w:hAnsi="宋体" w:eastAsia="宋体" w:cs="宋体"/>
      <w:color w:val="FD0000"/>
      <w:sz w:val="88"/>
      <w:szCs w:val="88"/>
      <w:u w:val="none"/>
      <w:shd w:val="clear" w:color="auto" w:fill="auto"/>
    </w:rPr>
  </w:style>
  <w:style w:type="character" w:customStyle="1" w:styleId="8">
    <w:name w:val="正文文本_"/>
    <w:basedOn w:val="5"/>
    <w:link w:val="9"/>
    <w:qFormat/>
    <w:uiPriority w:val="0"/>
    <w:rPr>
      <w:rFonts w:ascii="宋体" w:hAnsi="宋体" w:eastAsia="宋体" w:cs="宋体"/>
      <w:sz w:val="30"/>
      <w:szCs w:val="30"/>
      <w:u w:val="none"/>
      <w:shd w:val="clear" w:color="auto" w:fill="auto"/>
    </w:rPr>
  </w:style>
  <w:style w:type="paragraph" w:customStyle="1" w:styleId="9">
    <w:name w:val="正文文本1"/>
    <w:basedOn w:val="1"/>
    <w:link w:val="8"/>
    <w:qFormat/>
    <w:uiPriority w:val="0"/>
    <w:pPr>
      <w:widowControl w:val="0"/>
      <w:shd w:val="clear" w:color="auto" w:fill="auto"/>
      <w:spacing w:line="408" w:lineRule="auto"/>
      <w:ind w:firstLine="400"/>
    </w:pPr>
    <w:rPr>
      <w:rFonts w:ascii="宋体" w:hAnsi="宋体" w:eastAsia="宋体" w:cs="宋体"/>
      <w:sz w:val="30"/>
      <w:szCs w:val="30"/>
      <w:u w:val="none"/>
      <w:shd w:val="clear" w:color="auto" w:fill="auto"/>
    </w:rPr>
  </w:style>
  <w:style w:type="character" w:customStyle="1" w:styleId="10">
    <w:name w:val="正文文本 (2)_"/>
    <w:basedOn w:val="5"/>
    <w:link w:val="11"/>
    <w:qFormat/>
    <w:uiPriority w:val="0"/>
    <w:rPr>
      <w:rFonts w:ascii="宋体" w:hAnsi="宋体" w:eastAsia="宋体" w:cs="宋体"/>
      <w:sz w:val="42"/>
      <w:szCs w:val="42"/>
      <w:u w:val="none"/>
      <w:shd w:val="clear" w:color="auto" w:fill="auto"/>
    </w:rPr>
  </w:style>
  <w:style w:type="paragraph" w:customStyle="1" w:styleId="11">
    <w:name w:val="正文文本 (2)"/>
    <w:basedOn w:val="1"/>
    <w:link w:val="10"/>
    <w:qFormat/>
    <w:uiPriority w:val="0"/>
    <w:pPr>
      <w:widowControl w:val="0"/>
      <w:shd w:val="clear" w:color="auto" w:fill="auto"/>
      <w:spacing w:after="340" w:line="705" w:lineRule="exact"/>
      <w:jc w:val="center"/>
    </w:pPr>
    <w:rPr>
      <w:rFonts w:ascii="宋体" w:hAnsi="宋体" w:eastAsia="宋体" w:cs="宋体"/>
      <w:sz w:val="42"/>
      <w:szCs w:val="42"/>
      <w:u w:val="none"/>
      <w:shd w:val="clear" w:color="auto" w:fill="auto"/>
    </w:rPr>
  </w:style>
  <w:style w:type="character" w:customStyle="1" w:styleId="12">
    <w:name w:val="页眉或页脚 (2)_"/>
    <w:basedOn w:val="5"/>
    <w:link w:val="13"/>
    <w:qFormat/>
    <w:uiPriority w:val="0"/>
    <w:rPr>
      <w:rFonts w:ascii="Times New Roman" w:hAnsi="Times New Roman" w:eastAsia="Times New Roman" w:cs="Times New Roman"/>
      <w:sz w:val="20"/>
      <w:szCs w:val="20"/>
      <w:u w:val="none"/>
      <w:shd w:val="clear" w:color="auto" w:fill="auto"/>
    </w:rPr>
  </w:style>
  <w:style w:type="paragraph" w:customStyle="1" w:styleId="13">
    <w:name w:val="页眉或页脚 (2)"/>
    <w:basedOn w:val="1"/>
    <w:link w:val="12"/>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 w:type="character" w:customStyle="1" w:styleId="14">
    <w:name w:val="正文文本 (3)_"/>
    <w:basedOn w:val="5"/>
    <w:link w:val="15"/>
    <w:qFormat/>
    <w:uiPriority w:val="0"/>
    <w:rPr>
      <w:rFonts w:ascii="黑体" w:hAnsi="黑体" w:eastAsia="黑体" w:cs="黑体"/>
      <w:sz w:val="32"/>
      <w:szCs w:val="32"/>
      <w:u w:val="none"/>
      <w:shd w:val="clear" w:color="auto" w:fill="auto"/>
    </w:rPr>
  </w:style>
  <w:style w:type="paragraph" w:customStyle="1" w:styleId="15">
    <w:name w:val="正文文本 (3)"/>
    <w:basedOn w:val="1"/>
    <w:link w:val="14"/>
    <w:qFormat/>
    <w:uiPriority w:val="0"/>
    <w:pPr>
      <w:widowControl w:val="0"/>
      <w:shd w:val="clear" w:color="auto" w:fill="auto"/>
      <w:spacing w:after="40" w:line="310" w:lineRule="auto"/>
      <w:ind w:firstLine="480"/>
    </w:pPr>
    <w:rPr>
      <w:rFonts w:ascii="黑体" w:hAnsi="黑体" w:eastAsia="黑体" w:cs="黑体"/>
      <w:sz w:val="32"/>
      <w:szCs w:val="32"/>
      <w:u w:val="none"/>
      <w:shd w:val="clear" w:color="auto" w:fill="auto"/>
    </w:rPr>
  </w:style>
  <w:style w:type="character" w:customStyle="1" w:styleId="16">
    <w:name w:val="标题 #1_"/>
    <w:basedOn w:val="5"/>
    <w:link w:val="17"/>
    <w:qFormat/>
    <w:uiPriority w:val="0"/>
    <w:rPr>
      <w:rFonts w:ascii="宋体" w:hAnsi="宋体" w:eastAsia="宋体" w:cs="宋体"/>
      <w:sz w:val="30"/>
      <w:szCs w:val="30"/>
      <w:u w:val="none"/>
      <w:shd w:val="clear" w:color="auto" w:fill="auto"/>
    </w:rPr>
  </w:style>
  <w:style w:type="paragraph" w:customStyle="1" w:styleId="17">
    <w:name w:val="标题 #1"/>
    <w:basedOn w:val="1"/>
    <w:link w:val="16"/>
    <w:qFormat/>
    <w:uiPriority w:val="0"/>
    <w:pPr>
      <w:widowControl w:val="0"/>
      <w:shd w:val="clear" w:color="auto" w:fill="auto"/>
      <w:spacing w:after="100" w:line="324" w:lineRule="auto"/>
      <w:ind w:firstLine="640"/>
      <w:outlineLvl w:val="0"/>
    </w:pPr>
    <w:rPr>
      <w:rFonts w:ascii="宋体" w:hAnsi="宋体" w:eastAsia="宋体" w:cs="宋体"/>
      <w:sz w:val="30"/>
      <w:szCs w:val="30"/>
      <w:u w:val="none"/>
      <w:shd w:val="clear" w:color="auto" w:fill="auto"/>
    </w:rPr>
  </w:style>
  <w:style w:type="character" w:customStyle="1" w:styleId="18">
    <w:name w:val="其他_"/>
    <w:basedOn w:val="5"/>
    <w:link w:val="19"/>
    <w:qFormat/>
    <w:uiPriority w:val="0"/>
    <w:rPr>
      <w:rFonts w:ascii="宋体" w:hAnsi="宋体" w:eastAsia="宋体" w:cs="宋体"/>
      <w:u w:val="none"/>
      <w:shd w:val="clear" w:color="auto" w:fill="auto"/>
    </w:rPr>
  </w:style>
  <w:style w:type="paragraph" w:customStyle="1" w:styleId="19">
    <w:name w:val="其他"/>
    <w:basedOn w:val="1"/>
    <w:link w:val="18"/>
    <w:qFormat/>
    <w:uiPriority w:val="0"/>
    <w:pPr>
      <w:widowControl w:val="0"/>
      <w:shd w:val="clear" w:color="auto" w:fill="auto"/>
      <w:jc w:val="center"/>
    </w:pPr>
    <w:rPr>
      <w:rFonts w:ascii="宋体" w:hAnsi="宋体" w:eastAsia="宋体" w:cs="宋体"/>
      <w:u w:val="none"/>
      <w:shd w:val="clear" w:color="auto" w:fill="auto"/>
    </w:rPr>
  </w:style>
  <w:style w:type="character" w:customStyle="1" w:styleId="20">
    <w:name w:val="正文文本 (4)_"/>
    <w:basedOn w:val="5"/>
    <w:link w:val="21"/>
    <w:qFormat/>
    <w:uiPriority w:val="0"/>
    <w:rPr>
      <w:rFonts w:ascii="Cambria" w:hAnsi="Cambria" w:eastAsia="Cambria" w:cs="Cambria"/>
      <w:w w:val="80"/>
      <w:sz w:val="30"/>
      <w:szCs w:val="30"/>
      <w:u w:val="none"/>
      <w:shd w:val="clear" w:color="auto" w:fill="auto"/>
    </w:rPr>
  </w:style>
  <w:style w:type="paragraph" w:customStyle="1" w:styleId="21">
    <w:name w:val="正文文本 (4)"/>
    <w:basedOn w:val="1"/>
    <w:link w:val="20"/>
    <w:qFormat/>
    <w:uiPriority w:val="0"/>
    <w:pPr>
      <w:widowControl w:val="0"/>
      <w:shd w:val="clear" w:color="auto" w:fill="auto"/>
    </w:pPr>
    <w:rPr>
      <w:rFonts w:ascii="Cambria" w:hAnsi="Cambria" w:eastAsia="Cambria" w:cs="Cambria"/>
      <w:w w:val="80"/>
      <w:sz w:val="30"/>
      <w:szCs w:val="30"/>
      <w:u w:val="none"/>
      <w:shd w:val="clear" w:color="auto" w:fill="auto"/>
    </w:rPr>
  </w:style>
  <w:style w:type="character" w:customStyle="1" w:styleId="22">
    <w:name w:val="font41"/>
    <w:basedOn w:val="5"/>
    <w:qFormat/>
    <w:uiPriority w:val="0"/>
    <w:rPr>
      <w:rFonts w:hint="eastAsia" w:ascii="仿宋_GB2312" w:eastAsia="仿宋_GB2312" w:cs="仿宋_GB2312"/>
      <w:color w:val="000000"/>
      <w:sz w:val="22"/>
      <w:szCs w:val="22"/>
      <w:u w:val="none"/>
    </w:rPr>
  </w:style>
  <w:style w:type="character" w:customStyle="1" w:styleId="23">
    <w:name w:val="font11"/>
    <w:basedOn w:val="5"/>
    <w:qFormat/>
    <w:uiPriority w:val="0"/>
    <w:rPr>
      <w:rFonts w:hint="eastAsia" w:ascii="仿宋_GB2312" w:eastAsia="仿宋_GB2312" w:cs="仿宋_GB2312"/>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Office_11.8.2.9015_F1E327BC-269C-435d-A152-05C5408002CA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2022-03-28T06:06:00Z</dcterms:created>
  <dc:creator>user</dc:creator>
  <cp:lastModifiedBy>哈哈</cp:lastModifiedBy>
  <cp:lastPrinted>2022-03-29T06:43:00Z</cp:lastPrinted>
  <dcterms:modified xsi:type="dcterms:W3CDTF">2022-04-02T06:05:21Z</dcterms:modified>
  <dc:title>关于印发《宁波市城市管理与综合执法系统“迎亚运、创典范”市容环境全域提升工作方案》的通知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