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行政裁决</w:t>
      </w:r>
      <w:r>
        <w:rPr>
          <w:rFonts w:hint="eastAsia" w:ascii="华文仿宋" w:hAnsi="华文仿宋" w:eastAsia="华文仿宋" w:cs="华文仿宋"/>
          <w:b/>
          <w:bCs/>
          <w:sz w:val="44"/>
          <w:szCs w:val="44"/>
        </w:rPr>
        <w:t>书</w:t>
      </w:r>
    </w:p>
    <w:p>
      <w:pPr>
        <w:jc w:val="right"/>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案号:甬慈知法裁字〔2023〕29号</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广州星际悦动股份有限公司</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地址</w:t>
      </w:r>
      <w:r>
        <w:rPr>
          <w:rFonts w:hint="eastAsia" w:ascii="华文仿宋" w:hAnsi="华文仿宋" w:eastAsia="华文仿宋" w:cs="华文仿宋"/>
          <w:sz w:val="32"/>
          <w:szCs w:val="32"/>
          <w:lang w:eastAsia="zh-CN"/>
        </w:rPr>
        <w:t>：广州市天河区天河北路239号2001、2002、2003、2004、2005房</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法定代表人：陈建群</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：宁波市郎哩格郎电子商务有限公司慈溪分公司</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地址</w:t>
      </w:r>
      <w:r>
        <w:rPr>
          <w:rFonts w:hint="eastAsia" w:ascii="华文仿宋" w:hAnsi="华文仿宋" w:eastAsia="华文仿宋" w:cs="华文仿宋"/>
          <w:sz w:val="32"/>
          <w:szCs w:val="32"/>
          <w:lang w:eastAsia="zh-CN"/>
        </w:rPr>
        <w:t>：浙江省宁波市慈溪市慈溪市周巷镇环城南路381弄2号</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法定代表人：李力</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案由：广州星际悦动股份有限公司诉宁波市郎哩格郎电子商务有限公司慈溪分公司的牙刷头及牙刷的实用新型专利案，专利名称“牙刷头及牙刷”，专利号：ZL202222549474.4。</w:t>
      </w:r>
      <w:bookmarkStart w:id="0" w:name="_GoBack"/>
      <w:bookmarkEnd w:id="0"/>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sz w:val="32"/>
          <w:szCs w:val="32"/>
          <w:lang w:val="en-US" w:eastAsia="zh-CN"/>
        </w:rPr>
        <w:t>请求人就其“牙刷头及牙刷”的</w:t>
      </w:r>
      <w:r>
        <w:rPr>
          <w:rFonts w:hint="eastAsia" w:ascii="华文仿宋" w:hAnsi="华文仿宋" w:eastAsia="华文仿宋" w:cs="华文仿宋"/>
          <w:color w:val="auto"/>
          <w:sz w:val="32"/>
          <w:szCs w:val="32"/>
          <w:lang w:val="en-US" w:eastAsia="zh-CN"/>
        </w:rPr>
        <w:t>实用新型专利</w:t>
      </w:r>
      <w:r>
        <w:rPr>
          <w:rFonts w:hint="eastAsia" w:ascii="华文仿宋" w:hAnsi="华文仿宋" w:eastAsia="华文仿宋" w:cs="华文仿宋"/>
          <w:sz w:val="32"/>
          <w:szCs w:val="32"/>
          <w:lang w:val="en-US" w:eastAsia="zh-CN"/>
        </w:rPr>
        <w:t>（专利号：ZL202222549474.4）与被请求人的专利侵权纠纷，向我局提出处理请求。我局于2023年11月3日受理后，依照《专利行政执法办法》第十三条组成合议组。鉴于已有单位针对该专利向国家知识产权局专利复审委员会提出宣告该专利权无效的请求被专利复审委员会受理，本局决定自2023年12月25日起中止对本案的处理。2024年8月1日，本局收到请求人邮寄的国家知识产权局专利复审委员会作出的无效宣告请求审查决定，宣告专利权部分无效，决定恢复对本案的处理。</w:t>
      </w:r>
      <w:r>
        <w:rPr>
          <w:rFonts w:hint="eastAsia" w:ascii="华文仿宋" w:hAnsi="华文仿宋" w:eastAsia="华文仿宋" w:cs="华文仿宋"/>
          <w:color w:val="auto"/>
          <w:sz w:val="32"/>
          <w:szCs w:val="32"/>
          <w:lang w:val="en-US" w:eastAsia="zh-CN"/>
        </w:rPr>
        <w:t>合议组于2024年8月27日进行了口头审理，请求人和被请求人代理人到庭参加了口头审理。现本案已审结。</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sz w:val="32"/>
          <w:szCs w:val="32"/>
          <w:lang w:val="en-US" w:eastAsia="zh-CN"/>
        </w:rPr>
        <w:t>请求人</w:t>
      </w:r>
      <w:r>
        <w:rPr>
          <w:rFonts w:hint="eastAsia" w:ascii="华文仿宋" w:hAnsi="华文仿宋" w:eastAsia="华文仿宋" w:cs="华文仿宋"/>
          <w:sz w:val="32"/>
          <w:szCs w:val="32"/>
          <w:lang w:val="en-US" w:eastAsia="zh-CN"/>
        </w:rPr>
        <w:t>诉求：</w:t>
      </w:r>
      <w:r>
        <w:rPr>
          <w:rFonts w:hint="eastAsia" w:ascii="华文仿宋" w:hAnsi="华文仿宋" w:eastAsia="华文仿宋" w:cs="华文仿宋"/>
          <w:color w:val="auto"/>
          <w:sz w:val="32"/>
          <w:szCs w:val="32"/>
          <w:lang w:val="en-US" w:eastAsia="zh-CN"/>
        </w:rPr>
        <w:t>1.责令被请求人立即停止侵权行为，停止生产、销售、许诺销售侵犯请求人的专利产品；2.立即销毁侵权产品及制造侵权产品的专用设备和模具；3.造成的损失给予经济赔偿；4.责令被请求人签署不再侵权保证书；5.责令被请求人如实陈述其与宁波市莱曼商贸有限公司、宁波市郎哩格郎电子商务有限公司的关系，并提交相关合同、发票、账簿及其他有关资料。</w:t>
      </w: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事实与理由：</w:t>
      </w:r>
      <w:r>
        <w:rPr>
          <w:rFonts w:hint="eastAsia" w:ascii="华文仿宋" w:hAnsi="华文仿宋" w:eastAsia="华文仿宋" w:cs="华文仿宋"/>
          <w:color w:val="auto"/>
          <w:sz w:val="32"/>
          <w:szCs w:val="32"/>
          <w:lang w:val="en-US" w:eastAsia="zh-CN"/>
        </w:rPr>
        <w:t>请求人于2022年09月23日向国家知识产权局申请了上述涉案专利，该专利在2023年03月28日被授权公告，专利号为ZL202222549474.4，请求人至今仍享有该专利权。请求人提供了实用新型专利权评价报告。2023年9月26日，请求人从“澳松旗舰店”购买了型号为“AS-T7”的被控侵权产品。请求人</w:t>
      </w:r>
      <w:r>
        <w:rPr>
          <w:rFonts w:hint="eastAsia" w:ascii="华文仿宋" w:hAnsi="华文仿宋" w:eastAsia="华文仿宋" w:cs="华文仿宋"/>
          <w:color w:val="auto"/>
          <w:sz w:val="32"/>
          <w:szCs w:val="32"/>
          <w:lang w:eastAsia="zh-CN"/>
        </w:rPr>
        <w:t>取得侵权产品后，与专利进行了比对，认为产品侵犯了请求人的实用新型专利权。</w:t>
      </w:r>
      <w:r>
        <w:rPr>
          <w:rFonts w:hint="eastAsia" w:ascii="华文仿宋" w:hAnsi="华文仿宋" w:eastAsia="华文仿宋" w:cs="华文仿宋"/>
          <w:color w:val="auto"/>
          <w:sz w:val="32"/>
          <w:szCs w:val="32"/>
          <w:lang w:val="en-US" w:eastAsia="zh-CN"/>
        </w:rPr>
        <w:t>根据国家知识产权局专利复审委员会作出的无效宣告请求审查决定，在专利权人于2024年04月29日提交的权利要求1-17的基础上，维持202222549474.4号实用新型专利权有效。</w:t>
      </w: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被请求人辩称，本公司于2019年已经有类似的产品设计，且2019年该类似产品已在天猫平台“澳松”旗舰店销售，可提供相应销售证据，该类似产品设计在行业中多年前就为在先设计</w:t>
      </w:r>
      <w:r>
        <w:rPr>
          <w:rFonts w:hint="eastAsia" w:ascii="华文仿宋" w:hAnsi="华文仿宋" w:eastAsia="华文仿宋" w:cs="华文仿宋"/>
          <w:color w:val="auto"/>
          <w:sz w:val="32"/>
          <w:szCs w:val="32"/>
          <w:lang w:val="en-US" w:eastAsia="zh-CN"/>
        </w:rPr>
        <w:t>，因此不构成侵权行为。</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当事人围绕请求事项依法提交了证据，我局组织当事人进行了举证和质证。对当事人无异议的证据，我局予以确认并在卷佐证。</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根据当事人陈述和经审查确认的证据，我局认定事实如下：</w:t>
      </w:r>
    </w:p>
    <w:p>
      <w:pPr>
        <w:ind w:firstLine="640"/>
        <w:rPr>
          <w:rFonts w:hint="default"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涉案实用新型专利的专利号为ZL202222549474.4，名称“牙刷头及牙刷”，该专利申请日为2022年09月23日，授权公告日为2023年03月28日，该专利现处于法律保护有效期内。根据2024年06月17日国家知识产权局专利复审委员会作出的无效宣告请求审查决定，在专利权人于2024年04月29日提交的权利要求1-17的基础上，维持202222549474.4号实用新型专利权有效。</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根据已查明的事实，结合请求方与被请求方诉请和庭审内容，本案的争议焦点为：</w:t>
      </w:r>
      <w:r>
        <w:rPr>
          <w:rFonts w:hint="eastAsia" w:ascii="华文仿宋" w:hAnsi="华文仿宋" w:eastAsia="华文仿宋" w:cs="华文仿宋"/>
          <w:color w:val="auto"/>
          <w:sz w:val="32"/>
          <w:szCs w:val="32"/>
          <w:lang w:val="en-US" w:eastAsia="zh-CN"/>
        </w:rPr>
        <w:t>1.被请求人提出的现有设计抗辩是否成立；2.涉案产品是否落入涉案专利保护范围。</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sz w:val="32"/>
          <w:szCs w:val="32"/>
          <w:lang w:val="en-US" w:eastAsia="zh-CN"/>
        </w:rPr>
        <w:t>关于争议焦点</w:t>
      </w:r>
      <w:r>
        <w:rPr>
          <w:rFonts w:hint="eastAsia" w:ascii="华文仿宋" w:hAnsi="华文仿宋" w:eastAsia="华文仿宋" w:cs="华文仿宋"/>
          <w:sz w:val="32"/>
          <w:szCs w:val="32"/>
          <w:lang w:val="en-US" w:eastAsia="zh-CN"/>
        </w:rPr>
        <w:t>1</w:t>
      </w:r>
      <w:r>
        <w:rPr>
          <w:rFonts w:hint="default" w:ascii="华文仿宋" w:hAnsi="华文仿宋" w:eastAsia="华文仿宋" w:cs="华文仿宋"/>
          <w:sz w:val="32"/>
          <w:szCs w:val="32"/>
          <w:lang w:val="en-US" w:eastAsia="zh-CN"/>
        </w:rPr>
        <w:t>，</w:t>
      </w:r>
      <w:r>
        <w:rPr>
          <w:rFonts w:hint="eastAsia" w:ascii="华文仿宋" w:hAnsi="华文仿宋" w:eastAsia="华文仿宋" w:cs="华文仿宋"/>
          <w:sz w:val="32"/>
          <w:szCs w:val="32"/>
          <w:lang w:val="en-US" w:eastAsia="zh-CN"/>
        </w:rPr>
        <w:t>根据被请求人答辩书中提供的天猫平台“澳松”旗舰店销售图片及部分微信聊天截图</w:t>
      </w:r>
      <w:r>
        <w:rPr>
          <w:rFonts w:hint="eastAsia" w:ascii="华文仿宋" w:hAnsi="华文仿宋" w:eastAsia="华文仿宋" w:cs="华文仿宋"/>
          <w:color w:val="auto"/>
          <w:sz w:val="32"/>
          <w:szCs w:val="32"/>
          <w:lang w:val="en-US" w:eastAsia="zh-CN"/>
        </w:rPr>
        <w:t>，无法得出涉案专利的全部权利要求已被在先公开的结论，故被请求人提出的现有设计抗辩不成立</w:t>
      </w:r>
      <w:r>
        <w:rPr>
          <w:rFonts w:hint="default" w:ascii="华文仿宋" w:hAnsi="华文仿宋" w:eastAsia="华文仿宋" w:cs="华文仿宋"/>
          <w:color w:val="auto"/>
          <w:sz w:val="32"/>
          <w:szCs w:val="32"/>
          <w:lang w:val="en-US" w:eastAsia="zh-CN"/>
        </w:rPr>
        <w:t>。</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关于争议焦点</w:t>
      </w:r>
      <w:r>
        <w:rPr>
          <w:rFonts w:hint="eastAsia" w:ascii="华文仿宋" w:hAnsi="华文仿宋" w:eastAsia="华文仿宋" w:cs="华文仿宋"/>
          <w:color w:val="auto"/>
          <w:sz w:val="32"/>
          <w:szCs w:val="32"/>
          <w:lang w:val="en-US" w:eastAsia="zh-CN"/>
        </w:rPr>
        <w:t>2</w:t>
      </w:r>
      <w:r>
        <w:rPr>
          <w:rFonts w:hint="default" w:ascii="华文仿宋" w:hAnsi="华文仿宋" w:eastAsia="华文仿宋" w:cs="华文仿宋"/>
          <w:color w:val="auto"/>
          <w:sz w:val="32"/>
          <w:szCs w:val="32"/>
          <w:lang w:val="en-US" w:eastAsia="zh-CN"/>
        </w:rPr>
        <w:t>，</w:t>
      </w:r>
      <w:r>
        <w:rPr>
          <w:rFonts w:hint="eastAsia" w:ascii="华文仿宋" w:hAnsi="华文仿宋" w:eastAsia="华文仿宋" w:cs="华文仿宋"/>
          <w:color w:val="auto"/>
          <w:sz w:val="32"/>
          <w:szCs w:val="32"/>
          <w:lang w:val="en-US" w:eastAsia="zh-CN"/>
        </w:rPr>
        <w:t>基于国家知识产权局专利复审委员会作出的无效宣告请求审查决定</w:t>
      </w:r>
      <w:r>
        <w:rPr>
          <w:rFonts w:hint="default" w:ascii="华文仿宋" w:hAnsi="华文仿宋" w:eastAsia="华文仿宋" w:cs="华文仿宋"/>
          <w:color w:val="auto"/>
          <w:sz w:val="32"/>
          <w:szCs w:val="32"/>
          <w:lang w:val="en-US" w:eastAsia="zh-CN"/>
        </w:rPr>
        <w:t>，</w:t>
      </w:r>
      <w:r>
        <w:rPr>
          <w:rFonts w:hint="eastAsia" w:ascii="华文仿宋" w:hAnsi="华文仿宋" w:eastAsia="华文仿宋" w:cs="华文仿宋"/>
          <w:color w:val="auto"/>
          <w:sz w:val="32"/>
          <w:szCs w:val="32"/>
          <w:lang w:val="en-US" w:eastAsia="zh-CN"/>
        </w:rPr>
        <w:t>将涉案产品与其权利1、4、9、10进行对比。涉案产品具有刷毛和刷版，可在第一方向上划分为第一刷丝组、第二刷丝组、第三刷丝组，第一刷面逐渐变高，第二刷面逐渐变低，第三刷面逐渐变高，第一刷面和第二刷面的衔接部分是凸曲面，第二刷面和第三刷面形成凹曲面，且在第一方向上，第二刷丝组第一段较第一刷丝组更“陡”，也即斜率更大、高度变化更快;第二刷丝组第二段较第一刷丝组更“平缓”，也即斜率更小、高度变化更慢，故涉案产品落入涉案专利权利1保护范围;涉案产品第一刷丝组加第二刷丝组第一段刷毛束的数量为6.5束，而第二刷丝组第二段加第三刷丝组的数量为12.5束，数量更多，面积也更大，故涉案产品落入涉案专利权利4保护范围；根据请求人实测，涉案产品第一刷丝组最高实测高度17.52mm,第三刷丝组最低实测高度15.08,二者高度差为落入2.44mm，故涉案产品落入涉案专利权利9保护范围；在刷头俯视图上的宽度上，第一刷毛组的最大宽度，小于第二刷毛组的最大宽度，故涉案产品落入涉案专利权利10保护范围</w:t>
      </w:r>
      <w:r>
        <w:rPr>
          <w:rFonts w:hint="default" w:ascii="华文仿宋" w:hAnsi="华文仿宋" w:eastAsia="华文仿宋" w:cs="华文仿宋"/>
          <w:color w:val="auto"/>
          <w:sz w:val="32"/>
          <w:szCs w:val="32"/>
          <w:lang w:val="en-US" w:eastAsia="zh-CN"/>
        </w:rPr>
        <w:t>。</w:t>
      </w:r>
      <w:r>
        <w:rPr>
          <w:rFonts w:hint="eastAsia" w:ascii="华文仿宋" w:hAnsi="华文仿宋" w:eastAsia="华文仿宋" w:cs="华文仿宋"/>
          <w:color w:val="auto"/>
          <w:sz w:val="32"/>
          <w:szCs w:val="32"/>
          <w:lang w:val="en-US" w:eastAsia="zh-CN"/>
        </w:rPr>
        <w:t>综上所述，涉案产品落入涉案专利的保护范围。</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我局已经对该专利侵权纠纷进行了调解，双方无法达成一致意见。依据《中华人民共和国专利法》第十一条、第六十四、六十五条，《专利行政执法办法》第四十三条的规定，我局作出处理决定如下：</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被请求人构成侵犯专利号为ZL202222549474.4，名称“牙刷头及牙刷”的</w:t>
      </w:r>
      <w:r>
        <w:rPr>
          <w:rFonts w:hint="eastAsia" w:ascii="华文仿宋" w:hAnsi="华文仿宋" w:eastAsia="华文仿宋" w:cs="华文仿宋"/>
          <w:color w:val="auto"/>
          <w:sz w:val="32"/>
          <w:szCs w:val="32"/>
          <w:lang w:val="en-US" w:eastAsia="zh-CN"/>
        </w:rPr>
        <w:t>实用新型专利</w:t>
      </w:r>
      <w:r>
        <w:rPr>
          <w:rFonts w:hint="default" w:ascii="华文仿宋" w:hAnsi="华文仿宋" w:eastAsia="华文仿宋" w:cs="华文仿宋"/>
          <w:color w:val="auto"/>
          <w:sz w:val="32"/>
          <w:szCs w:val="32"/>
          <w:lang w:val="en-US" w:eastAsia="zh-CN"/>
        </w:rPr>
        <w:t>权。责令被请求人立即停止制造、销售、许诺销售涉案专利产品的行为，如果被请求人留存有制造侵权产品的专用设备、模具的，应立即销毁，不得销售、使用尚未售出的侵权产品或者以其他任何形式将其投放市场。请求人其他诉求于法无据，不予支持。</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双方当事人对本处理决定不服的，可根据《中华人民共和国专利法》第六十</w:t>
      </w:r>
      <w:r>
        <w:rPr>
          <w:rFonts w:hint="eastAsia" w:ascii="华文仿宋" w:hAnsi="华文仿宋" w:eastAsia="华文仿宋" w:cs="华文仿宋"/>
          <w:sz w:val="32"/>
          <w:szCs w:val="32"/>
          <w:lang w:val="en-US" w:eastAsia="zh-CN"/>
        </w:rPr>
        <w:t>五</w:t>
      </w:r>
      <w:r>
        <w:rPr>
          <w:rFonts w:hint="default" w:ascii="华文仿宋" w:hAnsi="华文仿宋" w:eastAsia="华文仿宋" w:cs="华文仿宋"/>
          <w:sz w:val="32"/>
          <w:szCs w:val="32"/>
          <w:lang w:val="en-US" w:eastAsia="zh-CN"/>
        </w:rPr>
        <w:t>条的规定，自收到本处理决定书之日起15日内，向浙江省宁波市中级人民法院起诉。期满不起诉又不履行行政裁决的，本局将申请人民法院强制执行。</w:t>
      </w: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慈溪</w:t>
      </w:r>
      <w:r>
        <w:rPr>
          <w:rFonts w:hint="default" w:ascii="华文仿宋" w:hAnsi="华文仿宋" w:eastAsia="华文仿宋" w:cs="华文仿宋"/>
          <w:sz w:val="32"/>
          <w:szCs w:val="32"/>
          <w:lang w:val="en-US" w:eastAsia="zh-CN"/>
        </w:rPr>
        <w:t>市市场监督管理局（知识产权局）</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地址：</w:t>
      </w:r>
      <w:r>
        <w:rPr>
          <w:rFonts w:hint="eastAsia" w:ascii="华文仿宋" w:hAnsi="华文仿宋" w:eastAsia="华文仿宋" w:cs="华文仿宋"/>
          <w:sz w:val="32"/>
          <w:szCs w:val="32"/>
        </w:rPr>
        <w:t>浙江省</w:t>
      </w:r>
      <w:r>
        <w:rPr>
          <w:rFonts w:hint="eastAsia" w:ascii="华文仿宋" w:hAnsi="华文仿宋" w:eastAsia="华文仿宋" w:cs="华文仿宋"/>
          <w:sz w:val="32"/>
          <w:szCs w:val="32"/>
          <w:lang w:val="en-US" w:eastAsia="zh-CN"/>
        </w:rPr>
        <w:t>慈溪市古塘街道开发大道238</w:t>
      </w:r>
      <w:r>
        <w:rPr>
          <w:rFonts w:hint="eastAsia" w:ascii="华文仿宋" w:hAnsi="华文仿宋" w:eastAsia="华文仿宋" w:cs="华文仿宋"/>
          <w:sz w:val="32"/>
          <w:szCs w:val="32"/>
        </w:rPr>
        <w:t>号</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邮编：315</w:t>
      </w:r>
      <w:r>
        <w:rPr>
          <w:rFonts w:hint="eastAsia" w:ascii="华文仿宋" w:hAnsi="华文仿宋" w:eastAsia="华文仿宋" w:cs="华文仿宋"/>
          <w:sz w:val="32"/>
          <w:szCs w:val="32"/>
          <w:lang w:val="en-US" w:eastAsia="zh-CN"/>
        </w:rPr>
        <w:t>3</w:t>
      </w:r>
      <w:r>
        <w:rPr>
          <w:rFonts w:hint="default" w:ascii="华文仿宋" w:hAnsi="华文仿宋" w:eastAsia="华文仿宋" w:cs="华文仿宋"/>
          <w:sz w:val="32"/>
          <w:szCs w:val="32"/>
          <w:lang w:val="en-US" w:eastAsia="zh-CN"/>
        </w:rPr>
        <w:t>00</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联系电话：0574-</w:t>
      </w:r>
      <w:r>
        <w:rPr>
          <w:rFonts w:hint="eastAsia" w:ascii="华文仿宋" w:hAnsi="华文仿宋" w:eastAsia="华文仿宋" w:cs="华文仿宋"/>
          <w:sz w:val="32"/>
          <w:szCs w:val="32"/>
          <w:lang w:val="en-US" w:eastAsia="zh-CN"/>
        </w:rPr>
        <w:t>63026415</w:t>
      </w:r>
    </w:p>
    <w:p>
      <w:pPr>
        <w:ind w:firstLine="640"/>
        <w:rPr>
          <w:rFonts w:hint="eastAsia"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合议组长：</w:t>
      </w:r>
      <w:r>
        <w:rPr>
          <w:rFonts w:hint="eastAsia" w:ascii="华文仿宋" w:hAnsi="华文仿宋" w:eastAsia="华文仿宋" w:cs="华文仿宋"/>
          <w:color w:val="auto"/>
          <w:sz w:val="32"/>
          <w:szCs w:val="32"/>
          <w:lang w:val="en-US" w:eastAsia="zh-CN"/>
        </w:rPr>
        <w:t>叶向阳</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胡东映</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罗雨洁</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书 记 员：</w:t>
      </w:r>
      <w:r>
        <w:rPr>
          <w:rFonts w:hint="eastAsia" w:ascii="华文仿宋" w:hAnsi="华文仿宋" w:eastAsia="华文仿宋" w:cs="华文仿宋"/>
          <w:color w:val="auto"/>
          <w:sz w:val="32"/>
          <w:szCs w:val="32"/>
          <w:lang w:val="en-US" w:eastAsia="zh-CN"/>
        </w:rPr>
        <w:t>杨子慧</w:t>
      </w:r>
      <w:r>
        <w:rPr>
          <w:rFonts w:hint="default" w:ascii="华文仿宋" w:hAnsi="华文仿宋" w:eastAsia="华文仿宋" w:cs="华文仿宋"/>
          <w:color w:val="auto"/>
          <w:sz w:val="32"/>
          <w:szCs w:val="32"/>
          <w:lang w:val="en-US" w:eastAsia="zh-CN"/>
        </w:rPr>
        <w:t xml:space="preserve"> </w:t>
      </w:r>
    </w:p>
    <w:p>
      <w:pPr>
        <w:ind w:firstLine="3846" w:firstLineChars="1202"/>
        <w:jc w:val="right"/>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慈溪市</w:t>
      </w:r>
      <w:r>
        <w:rPr>
          <w:rFonts w:hint="default" w:ascii="华文仿宋" w:hAnsi="华文仿宋" w:eastAsia="华文仿宋" w:cs="华文仿宋"/>
          <w:sz w:val="32"/>
          <w:szCs w:val="32"/>
          <w:lang w:val="en-US" w:eastAsia="zh-CN"/>
        </w:rPr>
        <w:t>知识产权局（盖章）</w:t>
      </w:r>
    </w:p>
    <w:p>
      <w:pPr>
        <w:ind w:firstLine="4166" w:firstLineChars="1302"/>
        <w:jc w:val="right"/>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202</w:t>
      </w:r>
      <w:r>
        <w:rPr>
          <w:rFonts w:hint="eastAsia" w:ascii="华文仿宋" w:hAnsi="华文仿宋" w:eastAsia="华文仿宋" w:cs="华文仿宋"/>
          <w:color w:val="auto"/>
          <w:sz w:val="32"/>
          <w:szCs w:val="32"/>
          <w:lang w:val="en-US" w:eastAsia="zh-CN"/>
        </w:rPr>
        <w:t>4</w:t>
      </w:r>
      <w:r>
        <w:rPr>
          <w:rFonts w:hint="default" w:ascii="华文仿宋" w:hAnsi="华文仿宋" w:eastAsia="华文仿宋" w:cs="华文仿宋"/>
          <w:color w:val="auto"/>
          <w:sz w:val="32"/>
          <w:szCs w:val="32"/>
          <w:lang w:val="en-US" w:eastAsia="zh-CN"/>
        </w:rPr>
        <w:t>年</w:t>
      </w:r>
      <w:r>
        <w:rPr>
          <w:rFonts w:hint="eastAsia" w:ascii="华文仿宋" w:hAnsi="华文仿宋" w:eastAsia="华文仿宋" w:cs="华文仿宋"/>
          <w:color w:val="auto"/>
          <w:sz w:val="32"/>
          <w:szCs w:val="32"/>
          <w:lang w:val="en-US" w:eastAsia="zh-CN"/>
        </w:rPr>
        <w:t>9</w:t>
      </w:r>
      <w:r>
        <w:rPr>
          <w:rFonts w:hint="default" w:ascii="华文仿宋" w:hAnsi="华文仿宋" w:eastAsia="华文仿宋" w:cs="华文仿宋"/>
          <w:color w:val="auto"/>
          <w:sz w:val="32"/>
          <w:szCs w:val="32"/>
          <w:lang w:val="en-US" w:eastAsia="zh-CN"/>
        </w:rPr>
        <w:t>月</w:t>
      </w:r>
      <w:r>
        <w:rPr>
          <w:rFonts w:hint="eastAsia" w:ascii="华文仿宋" w:hAnsi="华文仿宋" w:eastAsia="华文仿宋" w:cs="华文仿宋"/>
          <w:color w:val="auto"/>
          <w:sz w:val="32"/>
          <w:szCs w:val="32"/>
          <w:lang w:val="en-US" w:eastAsia="zh-CN"/>
        </w:rPr>
        <w:t>18</w:t>
      </w:r>
      <w:r>
        <w:rPr>
          <w:rFonts w:hint="default" w:ascii="华文仿宋" w:hAnsi="华文仿宋" w:eastAsia="华文仿宋" w:cs="华文仿宋"/>
          <w:color w:val="auto"/>
          <w:sz w:val="32"/>
          <w:szCs w:val="32"/>
          <w:lang w:val="en-US" w:eastAsia="zh-CN"/>
        </w:rPr>
        <w:t>日</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br w:type="page"/>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附法律法规：</w:t>
      </w:r>
    </w:p>
    <w:p>
      <w:pPr>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中华人民共和国专利法第十一条：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lang w:eastAsia="zh-CN"/>
        </w:rPr>
        <w:t>实用新型专利</w:t>
      </w:r>
      <w:r>
        <w:rPr>
          <w:rFonts w:hint="eastAsia" w:ascii="华文仿宋" w:hAnsi="华文仿宋" w:eastAsia="华文仿宋" w:cs="华文仿宋"/>
          <w:sz w:val="32"/>
          <w:szCs w:val="32"/>
        </w:rPr>
        <w:t>权被授予后，任何单位或者个人未经专利权人许可，都不得实施其专利，即不得为生产经营目的制造、许诺销售、销售、进口其</w:t>
      </w:r>
      <w:r>
        <w:rPr>
          <w:rFonts w:hint="eastAsia" w:ascii="华文仿宋" w:hAnsi="华文仿宋" w:eastAsia="华文仿宋" w:cs="华文仿宋"/>
          <w:sz w:val="32"/>
          <w:szCs w:val="32"/>
          <w:lang w:eastAsia="zh-CN"/>
        </w:rPr>
        <w:t>实用新型专利</w:t>
      </w:r>
      <w:r>
        <w:rPr>
          <w:rFonts w:hint="eastAsia" w:ascii="华文仿宋" w:hAnsi="华文仿宋" w:eastAsia="华文仿宋" w:cs="华文仿宋"/>
          <w:sz w:val="32"/>
          <w:szCs w:val="32"/>
        </w:rPr>
        <w:t>产品。</w:t>
      </w:r>
    </w:p>
    <w:p>
      <w:pPr>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中华人民共和国专利法第六十四条：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发明或者实用新型专利权的保护范围以其权利要求的内容为准，说明书及附图可以用于解释权利要求的内容。</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lang w:eastAsia="zh-CN"/>
        </w:rPr>
        <w:t>实用新型专利</w:t>
      </w:r>
      <w:r>
        <w:rPr>
          <w:rFonts w:hint="eastAsia" w:ascii="华文仿宋" w:hAnsi="华文仿宋" w:eastAsia="华文仿宋" w:cs="华文仿宋"/>
          <w:sz w:val="32"/>
          <w:szCs w:val="32"/>
        </w:rPr>
        <w:t>权的保护范围以表示在图片或者照片中的该产品的外观设计为准，简要说明可以用于解释图片或者照片所表示的该产品的外观设计。</w:t>
      </w:r>
    </w:p>
    <w:p>
      <w:pPr>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中华人民共和国专利法第六十五条：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国家知识产权局专利行政执法办法第四十三条：</w:t>
      </w:r>
      <w:r>
        <w:rPr>
          <w:rFonts w:hint="eastAsia" w:ascii="华文仿宋" w:hAnsi="华文仿宋" w:eastAsia="华文仿宋" w:cs="华文仿宋"/>
          <w:sz w:val="32"/>
          <w:szCs w:val="32"/>
        </w:rPr>
        <w:t xml:space="preserve"> </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管理专利工作的部门认定专利侵权行为成立，作出处理决定，责令侵权人立即停止侵权行为的，应当采取下列制止侵权行为的措施：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（四）侵权人许诺销售专利侵权产品或者依照专利方法直接获得的侵权产品的，责令其立即停止许诺销售行为，消除影响，并且不得进行任何实际销售行为；</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（六）责令侵权的参展方采取从展会上撤出侵权展品、销毁或者封存相应的宣传材料、更换或遮盖相应的展板等撤展措施；</w:t>
      </w:r>
    </w:p>
    <w:p>
      <w:pPr>
        <w:ind w:firstLine="640" w:firstLineChars="200"/>
        <w:rPr>
          <w:rFonts w:hint="eastAsia" w:ascii="华文仿宋" w:hAnsi="华文仿宋" w:eastAsia="华文仿宋" w:cs="华文仿宋"/>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r>
        <w:rPr>
          <w:rFonts w:hint="eastAsia" w:ascii="华文仿宋" w:hAnsi="华文仿宋" w:eastAsia="华文仿宋" w:cs="华文仿宋"/>
          <w:sz w:val="32"/>
          <w:szCs w:val="32"/>
        </w:rPr>
        <w:t>（七）停止侵权行为的其他必要措施。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p>
    <w:p>
      <w:pPr>
        <w:ind w:firstLine="640" w:firstLineChars="200"/>
        <w:rPr>
          <w:rFonts w:hint="eastAsia" w:ascii="华文仿宋" w:hAnsi="华文仿宋" w:eastAsia="华文仿宋" w:cs="华文仿宋"/>
          <w:sz w:val="32"/>
          <w:szCs w:val="32"/>
        </w:rPr>
      </w:pPr>
    </w:p>
    <w:sectPr>
      <w:type w:val="continuous"/>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3768E6"/>
    <w:rsid w:val="00A4168D"/>
    <w:rsid w:val="03095FA4"/>
    <w:rsid w:val="04B25724"/>
    <w:rsid w:val="061F4127"/>
    <w:rsid w:val="073768E6"/>
    <w:rsid w:val="075F26C1"/>
    <w:rsid w:val="07C254CD"/>
    <w:rsid w:val="07F767BA"/>
    <w:rsid w:val="085E3C58"/>
    <w:rsid w:val="09B66422"/>
    <w:rsid w:val="09DE131B"/>
    <w:rsid w:val="0A015462"/>
    <w:rsid w:val="0AF7548F"/>
    <w:rsid w:val="0B5F6B29"/>
    <w:rsid w:val="0B790B20"/>
    <w:rsid w:val="0C885FC3"/>
    <w:rsid w:val="0D0C6095"/>
    <w:rsid w:val="1184698E"/>
    <w:rsid w:val="11AF0604"/>
    <w:rsid w:val="152C4024"/>
    <w:rsid w:val="158E7297"/>
    <w:rsid w:val="1664355D"/>
    <w:rsid w:val="16A66965"/>
    <w:rsid w:val="18827C51"/>
    <w:rsid w:val="1B2E5898"/>
    <w:rsid w:val="1CCE250C"/>
    <w:rsid w:val="1CF5270C"/>
    <w:rsid w:val="1E6F28CC"/>
    <w:rsid w:val="1F355035"/>
    <w:rsid w:val="1FEF3EE1"/>
    <w:rsid w:val="20CB38B4"/>
    <w:rsid w:val="217467FD"/>
    <w:rsid w:val="230040D2"/>
    <w:rsid w:val="233B46DE"/>
    <w:rsid w:val="23DD71F6"/>
    <w:rsid w:val="2475441E"/>
    <w:rsid w:val="2490426B"/>
    <w:rsid w:val="272F0D77"/>
    <w:rsid w:val="274D292F"/>
    <w:rsid w:val="2B401311"/>
    <w:rsid w:val="2B585503"/>
    <w:rsid w:val="2BA87D38"/>
    <w:rsid w:val="2D4F6685"/>
    <w:rsid w:val="2D5F49EC"/>
    <w:rsid w:val="2D8B3738"/>
    <w:rsid w:val="2E841CA9"/>
    <w:rsid w:val="2F382010"/>
    <w:rsid w:val="31E04532"/>
    <w:rsid w:val="32B50D76"/>
    <w:rsid w:val="333A4686"/>
    <w:rsid w:val="34D3637B"/>
    <w:rsid w:val="3659267C"/>
    <w:rsid w:val="36D33D5B"/>
    <w:rsid w:val="37345C90"/>
    <w:rsid w:val="37CE346A"/>
    <w:rsid w:val="380D5A53"/>
    <w:rsid w:val="38F01221"/>
    <w:rsid w:val="39A75AD0"/>
    <w:rsid w:val="3A1F3C64"/>
    <w:rsid w:val="3A993127"/>
    <w:rsid w:val="3AF81A54"/>
    <w:rsid w:val="3BA77312"/>
    <w:rsid w:val="3BFD6910"/>
    <w:rsid w:val="3C261F3B"/>
    <w:rsid w:val="3CA3789E"/>
    <w:rsid w:val="3CE32B80"/>
    <w:rsid w:val="3CE37ADE"/>
    <w:rsid w:val="3D166B23"/>
    <w:rsid w:val="3D41598E"/>
    <w:rsid w:val="3E441C2E"/>
    <w:rsid w:val="3EB30040"/>
    <w:rsid w:val="3EC62652"/>
    <w:rsid w:val="3EC77406"/>
    <w:rsid w:val="40127181"/>
    <w:rsid w:val="410214DA"/>
    <w:rsid w:val="41EC7D7B"/>
    <w:rsid w:val="423C335B"/>
    <w:rsid w:val="42D85ABC"/>
    <w:rsid w:val="44B42379"/>
    <w:rsid w:val="45B00309"/>
    <w:rsid w:val="47BD7906"/>
    <w:rsid w:val="480B558D"/>
    <w:rsid w:val="486A669C"/>
    <w:rsid w:val="497A169C"/>
    <w:rsid w:val="4A597B29"/>
    <w:rsid w:val="4AC75A1F"/>
    <w:rsid w:val="4B8A1606"/>
    <w:rsid w:val="4BD571FE"/>
    <w:rsid w:val="4C775F54"/>
    <w:rsid w:val="4C9F35AA"/>
    <w:rsid w:val="4CA44C5E"/>
    <w:rsid w:val="4D33668B"/>
    <w:rsid w:val="4F7B604C"/>
    <w:rsid w:val="4F9B202B"/>
    <w:rsid w:val="51100A30"/>
    <w:rsid w:val="551D1000"/>
    <w:rsid w:val="569C753A"/>
    <w:rsid w:val="586B579E"/>
    <w:rsid w:val="59D163CA"/>
    <w:rsid w:val="5B510165"/>
    <w:rsid w:val="5DC676F8"/>
    <w:rsid w:val="5DE945D6"/>
    <w:rsid w:val="5F1A17CC"/>
    <w:rsid w:val="5FA320FD"/>
    <w:rsid w:val="614917BE"/>
    <w:rsid w:val="62224762"/>
    <w:rsid w:val="6264142D"/>
    <w:rsid w:val="64204B34"/>
    <w:rsid w:val="64893DC5"/>
    <w:rsid w:val="64AA5A3C"/>
    <w:rsid w:val="65FA03A9"/>
    <w:rsid w:val="6639207E"/>
    <w:rsid w:val="66997988"/>
    <w:rsid w:val="69AB2A58"/>
    <w:rsid w:val="6A59735A"/>
    <w:rsid w:val="6A966C8A"/>
    <w:rsid w:val="6BBA1BDA"/>
    <w:rsid w:val="6C0D30A2"/>
    <w:rsid w:val="6D351B25"/>
    <w:rsid w:val="6D392803"/>
    <w:rsid w:val="6E5204D7"/>
    <w:rsid w:val="6F306A5A"/>
    <w:rsid w:val="70A352DA"/>
    <w:rsid w:val="70EB542C"/>
    <w:rsid w:val="722A4D76"/>
    <w:rsid w:val="74390F52"/>
    <w:rsid w:val="74634C84"/>
    <w:rsid w:val="75A52D36"/>
    <w:rsid w:val="766475AD"/>
    <w:rsid w:val="773D4F4E"/>
    <w:rsid w:val="775056CC"/>
    <w:rsid w:val="77A21137"/>
    <w:rsid w:val="7A28166F"/>
    <w:rsid w:val="7C535A1B"/>
    <w:rsid w:val="7CCB61B7"/>
    <w:rsid w:val="7D222835"/>
    <w:rsid w:val="7EC32874"/>
    <w:rsid w:val="7F2B4A6D"/>
    <w:rsid w:val="7F3F0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2647</Words>
  <Characters>2778</Characters>
  <Lines>0</Lines>
  <Paragraphs>0</Paragraphs>
  <TotalTime>6</TotalTime>
  <ScaleCrop>false</ScaleCrop>
  <LinksUpToDate>false</LinksUpToDate>
  <CharactersWithSpaces>2859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2024-09-18T00:41:00Z</dcterms:created>
  <dc:creator>TF</dc:creator>
  <cp:lastModifiedBy>TF</cp:lastModifiedBy>
  <dcterms:modified xsi:type="dcterms:W3CDTF">2024-09-18T01:56:45Z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906E18C2584B41EBBD2A5E3FB6A60D2C</vt:lpwstr>
  </property>
</Properties>
</file>