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慈溪市</w:t>
      </w:r>
      <w:r>
        <w:rPr>
          <w:rFonts w:hint="eastAsia" w:ascii="方正小标宋简体" w:hAnsi="方正小标宋简体" w:eastAsia="方正小标宋简体" w:cs="方正小标宋简体"/>
          <w:sz w:val="44"/>
          <w:szCs w:val="44"/>
          <w:lang w:eastAsia="zh-CN"/>
        </w:rPr>
        <w:t>发展和改革局</w:t>
      </w:r>
      <w:r>
        <w:rPr>
          <w:rFonts w:hint="eastAsia" w:ascii="方正小标宋简体" w:hAnsi="方正小标宋简体" w:eastAsia="方正小标宋简体" w:cs="方正小标宋简体"/>
          <w:sz w:val="44"/>
          <w:szCs w:val="44"/>
          <w:lang w:val="en-US" w:eastAsia="zh-CN"/>
        </w:rPr>
        <w:t>2023年度政府</w:t>
      </w:r>
      <w:r>
        <w:rPr>
          <w:rFonts w:hint="eastAsia" w:ascii="方正小标宋简体" w:hAnsi="方正小标宋简体" w:eastAsia="方正小标宋简体" w:cs="方正小标宋简体"/>
          <w:sz w:val="44"/>
          <w:szCs w:val="44"/>
        </w:rPr>
        <w:t>信息公开</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工作年度报告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2023年，慈溪市发展和改革局紧紧围绕全市政府信息公开工作会议有关要求，根据《浙江省政务公开五年行动计划（2021—2025年）》等文件精神，深入推进政府信息公开提质增效和风险防范，积极全面做好政府信息公开工作。</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eastAsia="zh-CN"/>
        </w:rPr>
        <w:t>主动公开情况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highlight w:val="none"/>
          <w:u w:val="none"/>
          <w:lang w:val="en-US" w:eastAsia="zh-CN"/>
        </w:rPr>
      </w:pPr>
      <w:r>
        <w:rPr>
          <w:rFonts w:hint="eastAsia" w:ascii="仿宋_GB2312" w:eastAsia="仿宋_GB2312"/>
          <w:sz w:val="32"/>
          <w:szCs w:val="32"/>
          <w:highlight w:val="none"/>
          <w:lang w:val="en-US" w:eastAsia="zh-CN"/>
        </w:rPr>
        <w:t>围绕国民经济、价格监测、共同富裕、能源管理、粮食收储、对口支援、发展规划、</w:t>
      </w:r>
      <w:r>
        <w:rPr>
          <w:rFonts w:hint="eastAsia" w:ascii="仿宋_GB2312" w:eastAsia="仿宋_GB2312"/>
          <w:sz w:val="32"/>
          <w:szCs w:val="32"/>
          <w:highlight w:val="none"/>
          <w:u w:val="none"/>
          <w:lang w:val="en-US" w:eastAsia="zh-CN"/>
        </w:rPr>
        <w:t>民生实事、服务业发展、项目审批备案、固定资产投资</w:t>
      </w:r>
      <w:r>
        <w:rPr>
          <w:rFonts w:hint="eastAsia" w:ascii="仿宋_GB2312" w:eastAsia="仿宋_GB2312"/>
          <w:sz w:val="32"/>
          <w:szCs w:val="32"/>
          <w:highlight w:val="none"/>
          <w:lang w:val="en-US" w:eastAsia="zh-CN"/>
        </w:rPr>
        <w:t>等发展改革重点工作，主动拓展政府信息公开深度广度，深入推进决策、执行、管理、服务、结果“五公开”，积极推进政府信息公开提质增效，以公开促落实、促规范、促服务。2023年，我局通过政府门户网站信息公开平台主动公开政策文件、通知公告等96条，通过微信公众平台“慈溪发改”累计发布信息155条，</w:t>
      </w:r>
      <w:r>
        <w:rPr>
          <w:rFonts w:hint="eastAsia" w:ascii="仿宋_GB2312" w:eastAsia="仿宋_GB2312"/>
          <w:sz w:val="32"/>
          <w:szCs w:val="32"/>
          <w:highlight w:val="none"/>
          <w:u w:val="none"/>
          <w:lang w:val="en-US" w:eastAsia="zh-CN"/>
        </w:rPr>
        <w:t>完成行政许可事项109件。</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（二）依申请公开情况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0"/>
        <w:textAlignment w:val="auto"/>
        <w:rPr>
          <w:rFonts w:hint="default" w:ascii="仿宋_GB2312" w:hAnsi="宋体" w:eastAsia="仿宋_GB2312" w:cs="宋体"/>
          <w:color w:val="auto"/>
          <w:kern w:val="0"/>
          <w:sz w:val="32"/>
          <w:szCs w:val="32"/>
          <w:lang w:val="en-US" w:eastAsia="zh-CN"/>
        </w:rPr>
      </w:pPr>
      <w:r>
        <w:rPr>
          <w:rFonts w:hint="eastAsia" w:ascii="仿宋_GB2312" w:hAnsi="宋体" w:eastAsia="仿宋_GB2312" w:cs="宋体"/>
          <w:color w:val="000000"/>
          <w:kern w:val="0"/>
          <w:sz w:val="32"/>
          <w:szCs w:val="32"/>
          <w:lang w:val="en-US" w:eastAsia="zh-CN"/>
        </w:rPr>
        <w:t>2023年，我局收到书面或其它形式依申请公开件21件，其中20件已按照《中华人民共和国政府信息公开条例》规范完成答复工作，1件结转下年继续办理（2023年12月25日申请，已于2024年1月9日答复），未发生政府信息公</w:t>
      </w:r>
      <w:r>
        <w:rPr>
          <w:rFonts w:hint="eastAsia" w:ascii="仿宋_GB2312" w:hAnsi="宋体" w:eastAsia="仿宋_GB2312" w:cs="宋体"/>
          <w:color w:val="auto"/>
          <w:kern w:val="0"/>
          <w:sz w:val="32"/>
          <w:szCs w:val="32"/>
          <w:lang w:val="en-US" w:eastAsia="zh-CN"/>
        </w:rPr>
        <w:t xml:space="preserve">开申请行政复议、提起行政诉讼等情况。   </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eastAsia="仿宋_GB2312"/>
          <w:color w:val="auto"/>
          <w:sz w:val="32"/>
          <w:szCs w:val="32"/>
          <w:lang w:val="en-US" w:eastAsia="zh-Hans"/>
        </w:rPr>
      </w:pPr>
      <w:r>
        <w:rPr>
          <w:rFonts w:hint="eastAsia" w:ascii="楷体_GB2312" w:hAnsi="楷体_GB2312" w:eastAsia="楷体_GB2312" w:cs="楷体_GB2312"/>
          <w:b/>
          <w:bCs/>
          <w:color w:val="auto"/>
          <w:sz w:val="32"/>
          <w:szCs w:val="32"/>
          <w:lang w:val="en-US" w:eastAsia="zh-CN"/>
        </w:rPr>
        <w:t>（三）政府信息管理情况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健全工作机制</w:t>
      </w:r>
      <w:r>
        <w:rPr>
          <w:rFonts w:hint="default" w:ascii="仿宋_GB2312" w:hAnsi="仿宋_GB2312" w:eastAsia="仿宋_GB2312" w:cs="仿宋_GB2312"/>
          <w:sz w:val="32"/>
          <w:szCs w:val="32"/>
          <w:lang w:eastAsia="zh-CN"/>
        </w:rPr>
        <w:t>，</w:t>
      </w:r>
      <w:r>
        <w:rPr>
          <w:rFonts w:hint="eastAsia" w:ascii="仿宋_GB2312" w:hAnsi="仿宋_GB2312" w:eastAsia="仿宋_GB2312" w:cs="仿宋_GB2312"/>
          <w:color w:val="auto"/>
          <w:spacing w:val="4"/>
          <w:sz w:val="32"/>
          <w:szCs w:val="32"/>
          <w:lang w:val="zh-CN" w:eastAsia="zh-CN"/>
        </w:rPr>
        <w:t>积极落实政府网站集约化平台录入信息编审分离工作要求，</w:t>
      </w:r>
      <w:r>
        <w:rPr>
          <w:rFonts w:hint="eastAsia" w:ascii="仿宋_GB2312" w:hAnsi="仿宋_GB2312" w:eastAsia="仿宋_GB2312" w:cs="仿宋_GB2312"/>
          <w:color w:val="auto"/>
          <w:spacing w:val="4"/>
          <w:sz w:val="32"/>
          <w:szCs w:val="32"/>
          <w:lang w:val="en-US" w:eastAsia="zh-Hans"/>
        </w:rPr>
        <w:t>进一步强化信息审核</w:t>
      </w:r>
      <w:r>
        <w:rPr>
          <w:rFonts w:hint="default" w:ascii="仿宋_GB2312" w:hAnsi="仿宋_GB2312" w:eastAsia="仿宋_GB2312" w:cs="仿宋_GB2312"/>
          <w:color w:val="auto"/>
          <w:spacing w:val="4"/>
          <w:sz w:val="32"/>
          <w:szCs w:val="32"/>
          <w:lang w:eastAsia="zh-Hans"/>
        </w:rPr>
        <w:t>。</w:t>
      </w:r>
      <w:r>
        <w:rPr>
          <w:rFonts w:hint="eastAsia" w:ascii="仿宋_GB2312" w:hAnsi="仿宋_GB2312" w:eastAsia="仿宋_GB2312" w:cs="仿宋_GB2312"/>
          <w:sz w:val="32"/>
          <w:szCs w:val="32"/>
          <w:lang w:val="en-US" w:eastAsia="zh-Hans"/>
        </w:rPr>
        <w:t>加强日常监测</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常态化对已发布信息进行检查纠错并及时整改</w:t>
      </w:r>
      <w:r>
        <w:rPr>
          <w:rFonts w:hint="default"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CN"/>
        </w:rPr>
        <w:t>阶段性总结分析信息公开工作的</w:t>
      </w:r>
      <w:r>
        <w:rPr>
          <w:rFonts w:hint="eastAsia" w:ascii="仿宋_GB2312" w:hAnsi="仿宋_GB2312" w:eastAsia="仿宋_GB2312" w:cs="仿宋_GB2312"/>
          <w:sz w:val="32"/>
          <w:szCs w:val="32"/>
          <w:u w:val="none"/>
          <w:lang w:val="en-US" w:eastAsia="zh-CN"/>
        </w:rPr>
        <w:t>难点、问题和不足，并</w:t>
      </w:r>
      <w:r>
        <w:rPr>
          <w:rFonts w:hint="eastAsia" w:ascii="仿宋_GB2312" w:hAnsi="仿宋_GB2312" w:eastAsia="仿宋_GB2312" w:cs="仿宋_GB2312"/>
          <w:sz w:val="32"/>
          <w:szCs w:val="32"/>
          <w:lang w:val="en-US" w:eastAsia="zh-CN"/>
        </w:rPr>
        <w:t>由局办公室牵头做好对各业务科室的日常提醒规范，共同推进落实和解决问题。</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eastAsia="楷体_GB2312"/>
          <w:color w:val="auto"/>
          <w:sz w:val="32"/>
          <w:szCs w:val="32"/>
          <w:lang w:eastAsia="zh-CN"/>
        </w:rPr>
      </w:pP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lang w:eastAsia="zh-CN"/>
        </w:rPr>
        <w:t>四</w:t>
      </w: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lang w:eastAsia="zh-CN"/>
        </w:rPr>
        <w:t>平台建设情况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0"/>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加强政务新媒体建设，</w:t>
      </w:r>
      <w:r>
        <w:rPr>
          <w:rFonts w:hint="eastAsia" w:ascii="仿宋_GB2312" w:hAnsi="宋体" w:eastAsia="仿宋_GB2312" w:cs="宋体"/>
          <w:color w:val="000000"/>
          <w:kern w:val="0"/>
          <w:sz w:val="32"/>
          <w:szCs w:val="32"/>
          <w:lang w:val="en-US" w:eastAsia="zh-Hans"/>
        </w:rPr>
        <w:t>重点建设</w:t>
      </w:r>
      <w:r>
        <w:rPr>
          <w:rFonts w:hint="eastAsia" w:ascii="仿宋_GB2312" w:hAnsi="宋体" w:eastAsia="仿宋_GB2312" w:cs="宋体"/>
          <w:color w:val="000000"/>
          <w:kern w:val="0"/>
          <w:sz w:val="32"/>
          <w:szCs w:val="32"/>
          <w:lang w:val="en-US" w:eastAsia="zh-CN"/>
        </w:rPr>
        <w:t>“慈溪发改”微信公众</w:t>
      </w:r>
      <w:r>
        <w:rPr>
          <w:rFonts w:hint="eastAsia" w:ascii="仿宋_GB2312" w:hAnsi="宋体" w:eastAsia="仿宋_GB2312" w:cs="宋体"/>
          <w:color w:val="000000"/>
          <w:kern w:val="0"/>
          <w:sz w:val="32"/>
          <w:szCs w:val="32"/>
          <w:lang w:val="en-US" w:eastAsia="zh-Hans"/>
        </w:rPr>
        <w:t>平台</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u w:val="none"/>
          <w:lang w:val="en-US" w:eastAsia="zh-CN"/>
        </w:rPr>
        <w:t>加大对经济运行、有效投资、共富协作、民生事业、改革创新、机关党建、服务基层</w:t>
      </w:r>
      <w:r>
        <w:rPr>
          <w:rFonts w:hint="default" w:ascii="仿宋_GB2312" w:hAnsi="宋体" w:eastAsia="仿宋_GB2312" w:cs="宋体"/>
          <w:color w:val="000000"/>
          <w:kern w:val="0"/>
          <w:sz w:val="32"/>
          <w:szCs w:val="32"/>
          <w:u w:val="none"/>
          <w:lang w:val="en-US" w:eastAsia="zh-Hans"/>
        </w:rPr>
        <w:t>等工作正面曝光度</w:t>
      </w:r>
      <w:r>
        <w:rPr>
          <w:rFonts w:hint="default" w:ascii="仿宋_GB2312" w:hAnsi="宋体" w:eastAsia="仿宋_GB2312" w:cs="宋体"/>
          <w:color w:val="000000"/>
          <w:kern w:val="0"/>
          <w:sz w:val="32"/>
          <w:szCs w:val="32"/>
          <w:lang w:val="en-US" w:eastAsia="zh-Hans"/>
        </w:rPr>
        <w:t>，为宣传我市经济社会发展成效营造良好氛围</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lang w:val="en-US" w:eastAsia="zh-Hans"/>
        </w:rPr>
        <w:t>充分运用新媒体平台</w:t>
      </w:r>
      <w:r>
        <w:rPr>
          <w:rFonts w:hint="eastAsia" w:ascii="仿宋_GB2312" w:hAnsi="宋体" w:eastAsia="仿宋_GB2312" w:cs="宋体"/>
          <w:color w:val="000000"/>
          <w:kern w:val="0"/>
          <w:sz w:val="32"/>
          <w:szCs w:val="32"/>
          <w:lang w:val="en-US" w:eastAsia="zh-CN"/>
        </w:rPr>
        <w:t>，积极回应社会关切，今年以来，通过民e通问政管理平台妥善回复网友咨询问政21条，主要涉及价格管理、发展规划、项目审批等热点问题</w:t>
      </w:r>
      <w:r>
        <w:rPr>
          <w:rFonts w:hint="default" w:ascii="仿宋_GB2312" w:hAnsi="宋体" w:eastAsia="仿宋_GB2312" w:cs="宋体"/>
          <w:color w:val="000000"/>
          <w:kern w:val="0"/>
          <w:sz w:val="32"/>
          <w:szCs w:val="32"/>
          <w:lang w:val="en-US" w:eastAsia="zh-Hans"/>
        </w:rPr>
        <w:t>，</w:t>
      </w:r>
      <w:r>
        <w:rPr>
          <w:rFonts w:hint="eastAsia" w:ascii="仿宋_GB2312" w:hAnsi="宋体" w:eastAsia="仿宋_GB2312" w:cs="宋体"/>
          <w:color w:val="000000"/>
          <w:kern w:val="0"/>
          <w:sz w:val="32"/>
          <w:szCs w:val="32"/>
          <w:lang w:val="en-US" w:eastAsia="zh-CN"/>
        </w:rPr>
        <w:t>将政务新媒体作为打通政民互动的途径和便民惠民的桥梁。</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eastAsia="仿宋_GB2312"/>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五</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监督保障情况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建立信息公开审查机制，编制《慈溪市发展和改革局信息公开审查机制（试行）》，严格执行“应该公开的按规范公开，不该公开的坚决不公开”和“非强制公开事项审慎对外公开”的要求，持续加强审核把关。加强网络信息安全保障，编制《慈溪市发展和改革局门户网站应急预案（试行）》，形成科学有效的应急工作机制，确保网站安全平稳运行。</w:t>
      </w:r>
      <w:r>
        <w:rPr>
          <w:rFonts w:hint="eastAsia" w:ascii="仿宋_GB2312" w:eastAsia="仿宋_GB2312"/>
          <w:sz w:val="32"/>
          <w:szCs w:val="32"/>
          <w:highlight w:val="none"/>
          <w:lang w:val="en-US" w:eastAsia="zh-CN"/>
        </w:rPr>
        <w:t>积极参加全市统一的政务公开社会评议并定期按规定发布责任追究情况。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二、主动公开政府信息情况</w:t>
      </w:r>
    </w:p>
    <w:tbl>
      <w:tblPr>
        <w:tblStyle w:val="6"/>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2588"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制发件数</w:t>
            </w:r>
          </w:p>
        </w:tc>
        <w:tc>
          <w:tcPr>
            <w:tcW w:w="2252"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废止件数</w:t>
            </w:r>
          </w:p>
        </w:tc>
        <w:tc>
          <w:tcPr>
            <w:tcW w:w="1980"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color w:val="auto"/>
                <w:sz w:val="24"/>
                <w:szCs w:val="24"/>
              </w:rPr>
            </w:pPr>
            <w:r>
              <w:rPr>
                <w:rFonts w:hint="eastAsia" w:ascii="仿宋_GB2312" w:hAnsi="仿宋_GB2312" w:eastAsia="仿宋_GB2312" w:cs="仿宋_GB2312"/>
                <w:color w:val="auto"/>
                <w:sz w:val="24"/>
                <w:szCs w:val="24"/>
              </w:rPr>
              <w:t>规章</w:t>
            </w:r>
          </w:p>
        </w:tc>
        <w:tc>
          <w:tcPr>
            <w:tcW w:w="2588" w:type="dxa"/>
            <w:vAlign w:val="center"/>
          </w:tcPr>
          <w:p>
            <w:pPr>
              <w:spacing w:line="400" w:lineRule="exact"/>
              <w:jc w:val="center"/>
              <w:rPr>
                <w:rFonts w:hint="eastAsia" w:ascii="仿宋_GB2312" w:hAnsi="仿宋_GB2312" w:eastAsia="仿宋_GB2312" w:cs="Times New Roman"/>
                <w:color w:val="auto"/>
                <w:sz w:val="24"/>
                <w:szCs w:val="24"/>
                <w:lang w:val="en-US" w:eastAsia="zh-CN"/>
              </w:rPr>
            </w:pPr>
            <w:r>
              <w:rPr>
                <w:rFonts w:hint="eastAsia" w:ascii="仿宋_GB2312" w:hAnsi="仿宋_GB2312" w:eastAsia="仿宋_GB2312" w:cs="Times New Roman"/>
                <w:color w:val="auto"/>
                <w:sz w:val="24"/>
                <w:szCs w:val="24"/>
                <w:lang w:val="en-US" w:eastAsia="zh-CN"/>
              </w:rPr>
              <w:t>0</w:t>
            </w:r>
          </w:p>
        </w:tc>
        <w:tc>
          <w:tcPr>
            <w:tcW w:w="2252" w:type="dxa"/>
            <w:vAlign w:val="center"/>
          </w:tcPr>
          <w:p>
            <w:pPr>
              <w:spacing w:line="400" w:lineRule="exact"/>
              <w:jc w:val="center"/>
              <w:rPr>
                <w:rFonts w:hint="eastAsia" w:ascii="仿宋_GB2312" w:hAnsi="仿宋_GB2312" w:eastAsia="仿宋_GB2312" w:cs="Times New Roman"/>
                <w:color w:val="auto"/>
                <w:sz w:val="24"/>
                <w:szCs w:val="24"/>
                <w:lang w:val="en-US" w:eastAsia="zh-CN"/>
              </w:rPr>
            </w:pPr>
            <w:r>
              <w:rPr>
                <w:rFonts w:hint="eastAsia" w:ascii="仿宋_GB2312" w:hAnsi="仿宋_GB2312" w:eastAsia="仿宋_GB2312" w:cs="Times New Roman"/>
                <w:color w:val="auto"/>
                <w:sz w:val="24"/>
                <w:szCs w:val="24"/>
                <w:lang w:val="en-US" w:eastAsia="zh-CN"/>
              </w:rPr>
              <w:t>0</w:t>
            </w:r>
          </w:p>
        </w:tc>
        <w:tc>
          <w:tcPr>
            <w:tcW w:w="1980" w:type="dxa"/>
            <w:vAlign w:val="center"/>
          </w:tcPr>
          <w:p>
            <w:pPr>
              <w:spacing w:line="400" w:lineRule="exact"/>
              <w:jc w:val="center"/>
              <w:rPr>
                <w:rFonts w:hint="eastAsia" w:ascii="仿宋_GB2312" w:hAnsi="仿宋_GB2312" w:eastAsia="仿宋_GB2312" w:cs="Times New Roman"/>
                <w:color w:val="auto"/>
                <w:sz w:val="24"/>
                <w:szCs w:val="24"/>
                <w:lang w:val="en-US" w:eastAsia="zh-CN"/>
              </w:rPr>
            </w:pPr>
            <w:r>
              <w:rPr>
                <w:rFonts w:hint="eastAsia" w:ascii="仿宋_GB2312" w:hAnsi="仿宋_GB2312" w:eastAsia="仿宋_GB2312" w:cs="Times New Roman"/>
                <w:color w:val="auto"/>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color w:val="auto"/>
                <w:sz w:val="24"/>
                <w:szCs w:val="24"/>
              </w:rPr>
            </w:pPr>
            <w:r>
              <w:rPr>
                <w:rFonts w:hint="eastAsia" w:ascii="仿宋_GB2312" w:hAnsi="仿宋_GB2312" w:eastAsia="仿宋_GB2312" w:cs="仿宋_GB2312"/>
                <w:color w:val="auto"/>
                <w:sz w:val="24"/>
                <w:szCs w:val="24"/>
                <w:lang w:eastAsia="zh-CN"/>
              </w:rPr>
              <w:t>行政</w:t>
            </w:r>
            <w:r>
              <w:rPr>
                <w:rFonts w:hint="eastAsia" w:ascii="仿宋_GB2312" w:hAnsi="仿宋_GB2312" w:eastAsia="仿宋_GB2312" w:cs="仿宋_GB2312"/>
                <w:color w:val="auto"/>
                <w:sz w:val="24"/>
                <w:szCs w:val="24"/>
              </w:rPr>
              <w:t>规范性文件</w:t>
            </w:r>
          </w:p>
        </w:tc>
        <w:tc>
          <w:tcPr>
            <w:tcW w:w="2588" w:type="dxa"/>
            <w:vAlign w:val="center"/>
          </w:tcPr>
          <w:p>
            <w:pPr>
              <w:spacing w:line="400" w:lineRule="exact"/>
              <w:jc w:val="center"/>
              <w:rPr>
                <w:rFonts w:hint="eastAsia" w:ascii="仿宋_GB2312" w:hAnsi="仿宋_GB2312" w:eastAsia="仿宋_GB2312" w:cs="Times New Roman"/>
                <w:color w:val="auto"/>
                <w:sz w:val="24"/>
                <w:szCs w:val="24"/>
                <w:lang w:val="en-US" w:eastAsia="zh-CN"/>
              </w:rPr>
            </w:pPr>
            <w:r>
              <w:rPr>
                <w:rFonts w:hint="eastAsia" w:ascii="仿宋_GB2312" w:hAnsi="仿宋_GB2312" w:eastAsia="仿宋_GB2312" w:cs="Times New Roman"/>
                <w:color w:val="auto"/>
                <w:sz w:val="24"/>
                <w:szCs w:val="24"/>
                <w:lang w:val="en-US" w:eastAsia="zh-CN"/>
              </w:rPr>
              <w:t>4</w:t>
            </w:r>
          </w:p>
        </w:tc>
        <w:tc>
          <w:tcPr>
            <w:tcW w:w="2252" w:type="dxa"/>
            <w:vAlign w:val="center"/>
          </w:tcPr>
          <w:p>
            <w:pPr>
              <w:spacing w:line="400" w:lineRule="exact"/>
              <w:jc w:val="center"/>
              <w:rPr>
                <w:rFonts w:hint="eastAsia" w:ascii="仿宋_GB2312" w:hAnsi="仿宋_GB2312" w:eastAsia="仿宋_GB2312" w:cs="Times New Roman"/>
                <w:color w:val="auto"/>
                <w:sz w:val="24"/>
                <w:szCs w:val="24"/>
                <w:lang w:val="en-US" w:eastAsia="zh-CN"/>
              </w:rPr>
            </w:pPr>
            <w:r>
              <w:rPr>
                <w:rFonts w:hint="eastAsia" w:ascii="仿宋_GB2312" w:hAnsi="仿宋_GB2312" w:eastAsia="仿宋_GB2312" w:cs="Times New Roman"/>
                <w:color w:val="auto"/>
                <w:sz w:val="24"/>
                <w:szCs w:val="24"/>
                <w:lang w:val="en-US" w:eastAsia="zh-CN"/>
              </w:rPr>
              <w:t>5</w:t>
            </w:r>
          </w:p>
        </w:tc>
        <w:tc>
          <w:tcPr>
            <w:tcW w:w="1980" w:type="dxa"/>
            <w:vAlign w:val="center"/>
          </w:tcPr>
          <w:p>
            <w:pPr>
              <w:spacing w:line="400" w:lineRule="exact"/>
              <w:jc w:val="center"/>
              <w:rPr>
                <w:rFonts w:hint="default" w:ascii="仿宋_GB2312" w:hAnsi="仿宋_GB2312" w:eastAsia="仿宋_GB2312" w:cs="Times New Roman"/>
                <w:color w:val="auto"/>
                <w:sz w:val="24"/>
                <w:szCs w:val="24"/>
                <w:lang w:val="en-US" w:eastAsia="zh-CN"/>
              </w:rPr>
            </w:pPr>
            <w:r>
              <w:rPr>
                <w:rFonts w:hint="eastAsia" w:ascii="仿宋_GB2312" w:hAnsi="仿宋_GB2312" w:eastAsia="仿宋_GB2312" w:cs="Times New Roman"/>
                <w:color w:val="auto"/>
                <w:sz w:val="24"/>
                <w:szCs w:val="24"/>
                <w:lang w:val="en-US" w:eastAsia="zh-CN"/>
              </w:rPr>
              <w:t>38</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行政许可</w:t>
            </w:r>
          </w:p>
        </w:tc>
        <w:tc>
          <w:tcPr>
            <w:tcW w:w="6820" w:type="dxa"/>
            <w:gridSpan w:val="3"/>
            <w:vAlign w:val="center"/>
          </w:tcPr>
          <w:p>
            <w:pPr>
              <w:spacing w:line="400" w:lineRule="exact"/>
              <w:jc w:val="center"/>
              <w:rPr>
                <w:rFonts w:hint="default" w:ascii="仿宋_GB2312" w:hAnsi="仿宋_GB2312" w:eastAsia="仿宋_GB2312" w:cs="Times New Roman"/>
                <w:sz w:val="24"/>
                <w:szCs w:val="24"/>
                <w:highlight w:val="yellow"/>
                <w:lang w:val="en-US" w:eastAsia="zh-CN"/>
              </w:rPr>
            </w:pPr>
            <w:r>
              <w:rPr>
                <w:rFonts w:hint="eastAsia" w:ascii="仿宋_GB2312" w:hAnsi="仿宋_GB2312" w:eastAsia="仿宋_GB2312" w:cs="Times New Roman"/>
                <w:sz w:val="24"/>
                <w:szCs w:val="24"/>
                <w:lang w:val="en-US" w:eastAsia="zh-CN"/>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行政处罚</w:t>
            </w:r>
          </w:p>
        </w:tc>
        <w:tc>
          <w:tcPr>
            <w:tcW w:w="6820" w:type="dxa"/>
            <w:gridSpan w:val="3"/>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行政强制</w:t>
            </w:r>
          </w:p>
        </w:tc>
        <w:tc>
          <w:tcPr>
            <w:tcW w:w="6820" w:type="dxa"/>
            <w:gridSpan w:val="3"/>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行政事业性收费</w:t>
            </w:r>
          </w:p>
        </w:tc>
        <w:tc>
          <w:tcPr>
            <w:tcW w:w="6820" w:type="dxa"/>
            <w:gridSpan w:val="3"/>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三、收到和处理政府信息公开申请情况</w:t>
      </w:r>
    </w:p>
    <w:tbl>
      <w:tblPr>
        <w:tblStyle w:val="6"/>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vAlign w:val="center"/>
          </w:tcPr>
          <w:p>
            <w:pPr>
              <w:spacing w:line="400" w:lineRule="exact"/>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自然人</w:t>
            </w:r>
          </w:p>
        </w:tc>
        <w:tc>
          <w:tcPr>
            <w:tcW w:w="3597" w:type="dxa"/>
            <w:gridSpan w:val="5"/>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法人或其他组织</w:t>
            </w:r>
          </w:p>
        </w:tc>
        <w:tc>
          <w:tcPr>
            <w:tcW w:w="519"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continue"/>
            <w:vAlign w:val="center"/>
          </w:tcPr>
          <w:p>
            <w:pPr>
              <w:spacing w:line="400" w:lineRule="exact"/>
              <w:rPr>
                <w:rFonts w:ascii="黑体" w:hAnsi="黑体" w:eastAsia="黑体" w:cs="Times New Roman"/>
                <w:sz w:val="24"/>
                <w:szCs w:val="24"/>
              </w:rPr>
            </w:pPr>
          </w:p>
        </w:tc>
        <w:tc>
          <w:tcPr>
            <w:tcW w:w="772"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商业企业</w:t>
            </w:r>
          </w:p>
        </w:tc>
        <w:tc>
          <w:tcPr>
            <w:tcW w:w="70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科研机构</w:t>
            </w:r>
          </w:p>
        </w:tc>
        <w:tc>
          <w:tcPr>
            <w:tcW w:w="92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社会公益组织</w:t>
            </w:r>
          </w:p>
        </w:tc>
        <w:tc>
          <w:tcPr>
            <w:tcW w:w="73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法律服务机构</w:t>
            </w:r>
          </w:p>
        </w:tc>
        <w:tc>
          <w:tcPr>
            <w:tcW w:w="4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其他</w:t>
            </w:r>
          </w:p>
        </w:tc>
        <w:tc>
          <w:tcPr>
            <w:tcW w:w="519" w:type="dxa"/>
            <w:vMerge w:val="continue"/>
            <w:vAlign w:val="center"/>
          </w:tcPr>
          <w:p>
            <w:pPr>
              <w:spacing w:line="400" w:lineRule="exact"/>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上年结转政府信息公开申请数量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14</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19</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四、结转下年度继续办理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四、政府信息公开行政复议、行政诉讼情况</w:t>
      </w:r>
    </w:p>
    <w:tbl>
      <w:tblPr>
        <w:tblStyle w:val="6"/>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661"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0</w:t>
            </w:r>
          </w:p>
        </w:tc>
        <w:tc>
          <w:tcPr>
            <w:tcW w:w="66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0</w:t>
            </w:r>
          </w:p>
        </w:tc>
        <w:tc>
          <w:tcPr>
            <w:tcW w:w="529"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61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5"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617"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2023年，我局政府信息公开工作稳步推进，取得了一定成效，但仍存在一些不足，主要存在以下几个问题：一是信息公开意识有待加强，二是信息公开形式有待拓展，三是政策解读质量有待提升。</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2024年，我局将结合工作实际，从以下几个方面进行改进：一是强化培训指导，增强全局政府信息公开意识，提升信息公开质量和实效；二是拓展公开形式，着力抓好新媒体平台建设，积极探索各种方便公众查阅、了解信息的公开方式；三是深化政策解读，丰富政策解读形式，拓展政策解读渠道，提高解读材料的可读性、生动性和传播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六、其他需要报告的事项</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2023年1月1日至12月31日，本单位共收取信息处理费0元</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kinsoku/>
        <w:wordWrap w:val="0"/>
        <w:overflowPunct/>
        <w:topLinePunct w:val="0"/>
        <w:autoSpaceDE/>
        <w:autoSpaceDN/>
        <w:bidi w:val="0"/>
        <w:adjustRightInd/>
        <w:snapToGrid/>
        <w:spacing w:line="560" w:lineRule="exact"/>
        <w:jc w:val="right"/>
        <w:textAlignment w:val="auto"/>
        <w:rPr>
          <w:rFonts w:hint="eastAsia" w:ascii="仿宋_GB2312" w:hAnsi="Calibri" w:eastAsia="仿宋_GB2312"/>
          <w:sz w:val="32"/>
          <w:szCs w:val="32"/>
          <w:lang w:val="en-US" w:eastAsia="zh-CN"/>
        </w:rPr>
      </w:pPr>
      <w:r>
        <w:rPr>
          <w:rFonts w:hint="eastAsia" w:ascii="仿宋_GB2312" w:hAnsi="Calibri" w:eastAsia="仿宋_GB2312"/>
          <w:sz w:val="32"/>
          <w:szCs w:val="32"/>
          <w:lang w:val="en-US" w:eastAsia="zh-CN"/>
        </w:rPr>
        <w:t>慈溪市发展和改革局</w:t>
      </w:r>
    </w:p>
    <w:p>
      <w:pPr>
        <w:pStyle w:val="5"/>
        <w:keepNext w:val="0"/>
        <w:keepLines w:val="0"/>
        <w:pageBreakBefore w:val="0"/>
        <w:widowControl/>
        <w:kinsoku/>
        <w:wordWrap w:val="0"/>
        <w:overflowPunct/>
        <w:topLinePunct w:val="0"/>
        <w:autoSpaceDE/>
        <w:autoSpaceDN/>
        <w:bidi w:val="0"/>
        <w:adjustRightInd/>
        <w:snapToGrid/>
        <w:spacing w:line="560" w:lineRule="exact"/>
        <w:jc w:val="right"/>
        <w:textAlignment w:val="auto"/>
        <w:rPr>
          <w:rFonts w:hint="eastAsia" w:ascii="黑体" w:hAnsi="黑体" w:eastAsia="黑体" w:cs="黑体"/>
          <w:sz w:val="32"/>
          <w:szCs w:val="32"/>
          <w:lang w:val="en-US" w:eastAsia="zh-CN"/>
        </w:rPr>
      </w:pPr>
      <w:r>
        <w:rPr>
          <w:rFonts w:hint="eastAsia" w:ascii="仿宋_GB2312" w:hAnsi="Calibri" w:eastAsia="仿宋_GB2312"/>
          <w:sz w:val="32"/>
          <w:szCs w:val="32"/>
          <w:lang w:val="en-US" w:eastAsia="zh-CN"/>
        </w:rPr>
        <w:t xml:space="preserve">2024年1月15日 </w:t>
      </w:r>
    </w:p>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00007A87" w:usb1="80000000" w:usb2="00000008"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939433"/>
      <w:docPartObj>
        <w:docPartGallery w:val="autotext"/>
      </w:docPartObj>
    </w:sdtPr>
    <w:sdtContent>
      <w:p>
        <w:pPr>
          <w:pStyle w:val="3"/>
          <w:jc w:val="center"/>
        </w:pPr>
        <w:r>
          <w:fldChar w:fldCharType="begin"/>
        </w:r>
        <w:r>
          <w:instrText xml:space="preserve"> PAGE   \* MERGEFORMAT </w:instrText>
        </w:r>
        <w:r>
          <w:fldChar w:fldCharType="separate"/>
        </w:r>
        <w:r>
          <w:rPr>
            <w:lang w:val="zh-CN"/>
          </w:rPr>
          <w:t>6</w:t>
        </w:r>
        <w:r>
          <w:rPr>
            <w:lang w:val="zh-C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564"/>
    <w:rsid w:val="00020285"/>
    <w:rsid w:val="00027A5A"/>
    <w:rsid w:val="00037229"/>
    <w:rsid w:val="0005062A"/>
    <w:rsid w:val="000B79B7"/>
    <w:rsid w:val="00105974"/>
    <w:rsid w:val="001854EA"/>
    <w:rsid w:val="002108EE"/>
    <w:rsid w:val="0029755C"/>
    <w:rsid w:val="00321E78"/>
    <w:rsid w:val="003F5E4C"/>
    <w:rsid w:val="00414289"/>
    <w:rsid w:val="00444564"/>
    <w:rsid w:val="00616FEB"/>
    <w:rsid w:val="00644326"/>
    <w:rsid w:val="007420F8"/>
    <w:rsid w:val="007C6DE3"/>
    <w:rsid w:val="00831832"/>
    <w:rsid w:val="009B09B8"/>
    <w:rsid w:val="009F046D"/>
    <w:rsid w:val="00A46970"/>
    <w:rsid w:val="00B5443F"/>
    <w:rsid w:val="00B84906"/>
    <w:rsid w:val="00CD30EC"/>
    <w:rsid w:val="00CE4820"/>
    <w:rsid w:val="00D82F5B"/>
    <w:rsid w:val="00ED76F5"/>
    <w:rsid w:val="00EF310F"/>
    <w:rsid w:val="00F859C5"/>
    <w:rsid w:val="01374E54"/>
    <w:rsid w:val="02D62E39"/>
    <w:rsid w:val="030E471C"/>
    <w:rsid w:val="031F3DF1"/>
    <w:rsid w:val="040E27E3"/>
    <w:rsid w:val="041E381F"/>
    <w:rsid w:val="047B653E"/>
    <w:rsid w:val="04912ACD"/>
    <w:rsid w:val="04C9566C"/>
    <w:rsid w:val="05502988"/>
    <w:rsid w:val="05B92B63"/>
    <w:rsid w:val="06392CFB"/>
    <w:rsid w:val="07DC6755"/>
    <w:rsid w:val="08305E5E"/>
    <w:rsid w:val="08CE923C"/>
    <w:rsid w:val="08E43A8E"/>
    <w:rsid w:val="0A607363"/>
    <w:rsid w:val="0AE97A8E"/>
    <w:rsid w:val="0B0859F4"/>
    <w:rsid w:val="0B193AC9"/>
    <w:rsid w:val="0B852F08"/>
    <w:rsid w:val="0C4D354D"/>
    <w:rsid w:val="0C9413AC"/>
    <w:rsid w:val="0D506086"/>
    <w:rsid w:val="0E041AD4"/>
    <w:rsid w:val="0E0C7709"/>
    <w:rsid w:val="0F0202A0"/>
    <w:rsid w:val="0F24110D"/>
    <w:rsid w:val="101822F4"/>
    <w:rsid w:val="106E6B34"/>
    <w:rsid w:val="10A36062"/>
    <w:rsid w:val="10CA6D42"/>
    <w:rsid w:val="11E61180"/>
    <w:rsid w:val="11E6344A"/>
    <w:rsid w:val="128C379F"/>
    <w:rsid w:val="12E17731"/>
    <w:rsid w:val="131F5937"/>
    <w:rsid w:val="13393BDE"/>
    <w:rsid w:val="149617D4"/>
    <w:rsid w:val="15007F26"/>
    <w:rsid w:val="15137188"/>
    <w:rsid w:val="15687FFA"/>
    <w:rsid w:val="15A8543A"/>
    <w:rsid w:val="164864D5"/>
    <w:rsid w:val="167C0AF5"/>
    <w:rsid w:val="16BA7F06"/>
    <w:rsid w:val="16F90F11"/>
    <w:rsid w:val="173E73C8"/>
    <w:rsid w:val="179814B0"/>
    <w:rsid w:val="17D85E89"/>
    <w:rsid w:val="17FB5EBB"/>
    <w:rsid w:val="18137F71"/>
    <w:rsid w:val="184D2039"/>
    <w:rsid w:val="19216413"/>
    <w:rsid w:val="194303E2"/>
    <w:rsid w:val="19AF1F1B"/>
    <w:rsid w:val="1B3764F2"/>
    <w:rsid w:val="1BB074A7"/>
    <w:rsid w:val="1BDE5321"/>
    <w:rsid w:val="1C1D13BE"/>
    <w:rsid w:val="1C7238D5"/>
    <w:rsid w:val="1E057C50"/>
    <w:rsid w:val="1E8700CD"/>
    <w:rsid w:val="1F894534"/>
    <w:rsid w:val="1F8C2708"/>
    <w:rsid w:val="1FD73F2A"/>
    <w:rsid w:val="2063014C"/>
    <w:rsid w:val="206A14BF"/>
    <w:rsid w:val="206F3FEA"/>
    <w:rsid w:val="21472A39"/>
    <w:rsid w:val="216435EB"/>
    <w:rsid w:val="21B06168"/>
    <w:rsid w:val="229E48DB"/>
    <w:rsid w:val="22F34840"/>
    <w:rsid w:val="234F0052"/>
    <w:rsid w:val="23A97432"/>
    <w:rsid w:val="23E959E9"/>
    <w:rsid w:val="24FB2493"/>
    <w:rsid w:val="253C6648"/>
    <w:rsid w:val="267A70CD"/>
    <w:rsid w:val="273158CC"/>
    <w:rsid w:val="27906EE8"/>
    <w:rsid w:val="289E347E"/>
    <w:rsid w:val="28F21AC7"/>
    <w:rsid w:val="290731DA"/>
    <w:rsid w:val="29286108"/>
    <w:rsid w:val="294D2BB7"/>
    <w:rsid w:val="2A047F8A"/>
    <w:rsid w:val="2AA1765E"/>
    <w:rsid w:val="2B942421"/>
    <w:rsid w:val="2C8474B3"/>
    <w:rsid w:val="2C850242"/>
    <w:rsid w:val="2D686211"/>
    <w:rsid w:val="2E660E9D"/>
    <w:rsid w:val="2FBE207E"/>
    <w:rsid w:val="313905F0"/>
    <w:rsid w:val="31B133F0"/>
    <w:rsid w:val="31C75594"/>
    <w:rsid w:val="33C37FE0"/>
    <w:rsid w:val="33DF0281"/>
    <w:rsid w:val="342F1837"/>
    <w:rsid w:val="35B86280"/>
    <w:rsid w:val="35DC598D"/>
    <w:rsid w:val="361C5DEB"/>
    <w:rsid w:val="361D0295"/>
    <w:rsid w:val="36760BD0"/>
    <w:rsid w:val="369B2CA5"/>
    <w:rsid w:val="373A0C1E"/>
    <w:rsid w:val="379A6F2C"/>
    <w:rsid w:val="37DE28D1"/>
    <w:rsid w:val="393B1F9E"/>
    <w:rsid w:val="39445032"/>
    <w:rsid w:val="397D70A5"/>
    <w:rsid w:val="3B6162CB"/>
    <w:rsid w:val="3DBEF9B9"/>
    <w:rsid w:val="3DFF8AAC"/>
    <w:rsid w:val="3E5FA31E"/>
    <w:rsid w:val="3E91465F"/>
    <w:rsid w:val="3EDA2E5F"/>
    <w:rsid w:val="3FFF1A69"/>
    <w:rsid w:val="407E7ABF"/>
    <w:rsid w:val="4164161A"/>
    <w:rsid w:val="4265242D"/>
    <w:rsid w:val="42D04A91"/>
    <w:rsid w:val="43D441A9"/>
    <w:rsid w:val="44124DF5"/>
    <w:rsid w:val="44533D13"/>
    <w:rsid w:val="44D3620E"/>
    <w:rsid w:val="45D5B60F"/>
    <w:rsid w:val="47572B07"/>
    <w:rsid w:val="47C562E2"/>
    <w:rsid w:val="480D1A37"/>
    <w:rsid w:val="48F77700"/>
    <w:rsid w:val="4A123335"/>
    <w:rsid w:val="4A4554B8"/>
    <w:rsid w:val="4AAF3799"/>
    <w:rsid w:val="4AEE5B50"/>
    <w:rsid w:val="4B2E419E"/>
    <w:rsid w:val="4B402DD1"/>
    <w:rsid w:val="4CB24D1B"/>
    <w:rsid w:val="4CB9233E"/>
    <w:rsid w:val="4D381304"/>
    <w:rsid w:val="4D970721"/>
    <w:rsid w:val="4E287FFA"/>
    <w:rsid w:val="4E854A1D"/>
    <w:rsid w:val="4E8E65C1"/>
    <w:rsid w:val="4EE129A3"/>
    <w:rsid w:val="4EFDDD21"/>
    <w:rsid w:val="4F3373B4"/>
    <w:rsid w:val="4FCF9BCC"/>
    <w:rsid w:val="4FFC0352"/>
    <w:rsid w:val="500C303F"/>
    <w:rsid w:val="508F56DF"/>
    <w:rsid w:val="50A85C9D"/>
    <w:rsid w:val="513D2F2D"/>
    <w:rsid w:val="51575268"/>
    <w:rsid w:val="5177BC44"/>
    <w:rsid w:val="517B2107"/>
    <w:rsid w:val="51EF7FEC"/>
    <w:rsid w:val="51F31FFB"/>
    <w:rsid w:val="52187956"/>
    <w:rsid w:val="52742DDF"/>
    <w:rsid w:val="52EC5EB4"/>
    <w:rsid w:val="53622E42"/>
    <w:rsid w:val="537F0A3F"/>
    <w:rsid w:val="54A83DAC"/>
    <w:rsid w:val="559C44C3"/>
    <w:rsid w:val="55D65B5E"/>
    <w:rsid w:val="5671669C"/>
    <w:rsid w:val="56DE5575"/>
    <w:rsid w:val="56E9366F"/>
    <w:rsid w:val="584414A5"/>
    <w:rsid w:val="593F3A1A"/>
    <w:rsid w:val="594D4389"/>
    <w:rsid w:val="59955D26"/>
    <w:rsid w:val="5A6F20DD"/>
    <w:rsid w:val="5A9118FE"/>
    <w:rsid w:val="5B157129"/>
    <w:rsid w:val="5C0F14A9"/>
    <w:rsid w:val="5C8535C1"/>
    <w:rsid w:val="5C9B540C"/>
    <w:rsid w:val="5CB8091F"/>
    <w:rsid w:val="5CE77487"/>
    <w:rsid w:val="5D08474D"/>
    <w:rsid w:val="5E515BAA"/>
    <w:rsid w:val="5E7BF19A"/>
    <w:rsid w:val="5E883085"/>
    <w:rsid w:val="5ED13367"/>
    <w:rsid w:val="5EE906B0"/>
    <w:rsid w:val="5F0019ED"/>
    <w:rsid w:val="5F3D0A7C"/>
    <w:rsid w:val="60BD5766"/>
    <w:rsid w:val="60EC10F7"/>
    <w:rsid w:val="623C12A9"/>
    <w:rsid w:val="624D53FA"/>
    <w:rsid w:val="62A25746"/>
    <w:rsid w:val="63050835"/>
    <w:rsid w:val="659941E5"/>
    <w:rsid w:val="661F0E5C"/>
    <w:rsid w:val="66233278"/>
    <w:rsid w:val="663C5A5D"/>
    <w:rsid w:val="66860C54"/>
    <w:rsid w:val="66B27F24"/>
    <w:rsid w:val="67963BF2"/>
    <w:rsid w:val="68AD350A"/>
    <w:rsid w:val="695C65F0"/>
    <w:rsid w:val="697A579D"/>
    <w:rsid w:val="69990F25"/>
    <w:rsid w:val="6AFF11C2"/>
    <w:rsid w:val="6BCB1E0D"/>
    <w:rsid w:val="6BFFA36A"/>
    <w:rsid w:val="6C7843B5"/>
    <w:rsid w:val="6C855839"/>
    <w:rsid w:val="6CB00E01"/>
    <w:rsid w:val="6D5FC03D"/>
    <w:rsid w:val="6D695BED"/>
    <w:rsid w:val="6D91263F"/>
    <w:rsid w:val="6DFF1696"/>
    <w:rsid w:val="6E19533E"/>
    <w:rsid w:val="6E800B88"/>
    <w:rsid w:val="6F806E1F"/>
    <w:rsid w:val="6FB42FA6"/>
    <w:rsid w:val="6FDA4328"/>
    <w:rsid w:val="6FFDE030"/>
    <w:rsid w:val="703419A7"/>
    <w:rsid w:val="703740CD"/>
    <w:rsid w:val="70385063"/>
    <w:rsid w:val="7128150C"/>
    <w:rsid w:val="72CC236B"/>
    <w:rsid w:val="737DE72F"/>
    <w:rsid w:val="738462AD"/>
    <w:rsid w:val="74D53759"/>
    <w:rsid w:val="755D1591"/>
    <w:rsid w:val="757A09B2"/>
    <w:rsid w:val="75D32A53"/>
    <w:rsid w:val="76143E0D"/>
    <w:rsid w:val="76E6491D"/>
    <w:rsid w:val="771F1577"/>
    <w:rsid w:val="77862792"/>
    <w:rsid w:val="77B451AC"/>
    <w:rsid w:val="77BC90E0"/>
    <w:rsid w:val="77DCC981"/>
    <w:rsid w:val="77FDFEE2"/>
    <w:rsid w:val="78153E6C"/>
    <w:rsid w:val="78753951"/>
    <w:rsid w:val="78F50800"/>
    <w:rsid w:val="792C5912"/>
    <w:rsid w:val="7ABBB87A"/>
    <w:rsid w:val="7B7E74ED"/>
    <w:rsid w:val="7B8C6B3B"/>
    <w:rsid w:val="7BBF3295"/>
    <w:rsid w:val="7BEF1922"/>
    <w:rsid w:val="7BEFBE35"/>
    <w:rsid w:val="7BFFA941"/>
    <w:rsid w:val="7C0B7A60"/>
    <w:rsid w:val="7C311AE3"/>
    <w:rsid w:val="7C9869FA"/>
    <w:rsid w:val="7CAD0C47"/>
    <w:rsid w:val="7CF76237"/>
    <w:rsid w:val="7D160F4B"/>
    <w:rsid w:val="7D5F409A"/>
    <w:rsid w:val="7D7C684E"/>
    <w:rsid w:val="7DDD2D68"/>
    <w:rsid w:val="7DEF10B7"/>
    <w:rsid w:val="7DF60ECF"/>
    <w:rsid w:val="7E892E91"/>
    <w:rsid w:val="7E953F59"/>
    <w:rsid w:val="7EE76D83"/>
    <w:rsid w:val="7EEF2137"/>
    <w:rsid w:val="7EFF3396"/>
    <w:rsid w:val="7F6FDF85"/>
    <w:rsid w:val="7F7AE8EA"/>
    <w:rsid w:val="7FDC205B"/>
    <w:rsid w:val="7FE725C6"/>
    <w:rsid w:val="7FFE6C25"/>
    <w:rsid w:val="7FFF7E62"/>
    <w:rsid w:val="8FCE1198"/>
    <w:rsid w:val="93F636DF"/>
    <w:rsid w:val="AB7E49A5"/>
    <w:rsid w:val="ADDC70C9"/>
    <w:rsid w:val="BAFF1C66"/>
    <w:rsid w:val="BDFD0152"/>
    <w:rsid w:val="BF774282"/>
    <w:rsid w:val="BF7921AE"/>
    <w:rsid w:val="BF9F1842"/>
    <w:rsid w:val="BFBFDB68"/>
    <w:rsid w:val="BFF9AFE7"/>
    <w:rsid w:val="D5C36F1C"/>
    <w:rsid w:val="DCF78061"/>
    <w:rsid w:val="E7DF0059"/>
    <w:rsid w:val="E9FF8E28"/>
    <w:rsid w:val="EB7F5890"/>
    <w:rsid w:val="EF5B41E7"/>
    <w:rsid w:val="EF7FB691"/>
    <w:rsid w:val="EFFB1C3B"/>
    <w:rsid w:val="F1FB79F6"/>
    <w:rsid w:val="F43A71B1"/>
    <w:rsid w:val="F77B110D"/>
    <w:rsid w:val="F9FBE3DC"/>
    <w:rsid w:val="FB5B00F3"/>
    <w:rsid w:val="FBFD0D94"/>
    <w:rsid w:val="FDAFB02B"/>
    <w:rsid w:val="FEFBB901"/>
    <w:rsid w:val="FF7632B2"/>
    <w:rsid w:val="FFBF196D"/>
    <w:rsid w:val="FFBFCBF1"/>
    <w:rsid w:val="FFE45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rPr>
      <w:rFonts w:ascii="Times New Roman" w:hAnsi="Times New Roman" w:cs="Times New Roman"/>
      <w:sz w:val="24"/>
      <w:szCs w:val="24"/>
    </w:rPr>
  </w:style>
  <w:style w:type="character" w:styleId="8">
    <w:name w:val="Strong"/>
    <w:qFormat/>
    <w:uiPriority w:val="0"/>
    <w:rPr>
      <w:b/>
    </w:rPr>
  </w:style>
  <w:style w:type="character" w:styleId="9">
    <w:name w:val="page number"/>
    <w:basedOn w:val="7"/>
    <w:qFormat/>
    <w:uiPriority w:val="99"/>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606</Words>
  <Characters>3457</Characters>
  <Lines>28</Lines>
  <Paragraphs>8</Paragraphs>
  <TotalTime>80</TotalTime>
  <ScaleCrop>false</ScaleCrop>
  <LinksUpToDate>false</LinksUpToDate>
  <CharactersWithSpaces>4055</CharactersWithSpaces>
  <Application>WPS Office_11.8.2.1117_F1E327BC-269C-435d-A152-05C5408002CA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2019-12-23T17:52:00Z</dcterms:created>
  <dc:creator>user</dc:creator>
  <cp:lastModifiedBy>wqw</cp:lastModifiedBy>
  <cp:lastPrinted>2024-01-16T23:14:00Z</cp:lastPrinted>
  <dcterms:modified xsi:type="dcterms:W3CDTF">2025-01-14T09:42:44Z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2052-11.8.2.1117</vt:lpwstr>
  </property>
  <property fmtid="{D5CDD505-2E9C-101B-9397-08002B2CF9AE}" pid="3" name="ICV">
    <vt:lpwstr>AD501CBC0C20DEFFD91DA26556B3ABE0_43</vt:lpwstr>
  </property>
</Properties>
</file>