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eastAsia="方正小标宋简体"/>
          <w:sz w:val="36"/>
          <w:szCs w:val="36"/>
        </w:rPr>
      </w:pPr>
      <w:r>
        <w:rPr>
          <w:rFonts w:hint="eastAsia" w:ascii="方正小标宋简体" w:eastAsia="方正小标宋简体"/>
          <w:sz w:val="36"/>
          <w:szCs w:val="36"/>
        </w:rPr>
        <w:t>附件：</w:t>
      </w:r>
    </w:p>
    <w:p>
      <w:pPr>
        <w:spacing w:line="400" w:lineRule="exact"/>
        <w:jc w:val="center"/>
        <w:rPr>
          <w:rFonts w:ascii="方正小标宋简体" w:eastAsia="方正小标宋简体"/>
          <w:sz w:val="36"/>
          <w:szCs w:val="36"/>
        </w:rPr>
      </w:pPr>
      <w:r>
        <w:rPr>
          <w:rFonts w:hint="eastAsia" w:ascii="方正小标宋简体" w:eastAsia="方正小标宋简体"/>
          <w:sz w:val="36"/>
          <w:szCs w:val="36"/>
        </w:rPr>
        <w:t>市科技局</w:t>
      </w:r>
      <w:r>
        <w:rPr>
          <w:rFonts w:ascii="方正小标宋简体" w:eastAsia="方正小标宋简体"/>
          <w:sz w:val="36"/>
          <w:szCs w:val="36"/>
        </w:rPr>
        <w:t>2021</w:t>
      </w:r>
      <w:r>
        <w:rPr>
          <w:rFonts w:hint="eastAsia" w:ascii="方正小标宋简体" w:eastAsia="方正小标宋简体"/>
          <w:sz w:val="36"/>
          <w:szCs w:val="36"/>
        </w:rPr>
        <w:t>年重点工作责任分解</w:t>
      </w:r>
    </w:p>
    <w:p/>
    <w:tbl>
      <w:tblPr>
        <w:tblStyle w:val="10"/>
        <w:tblpPr w:leftFromText="180" w:rightFromText="180" w:vertAnchor="text" w:horzAnchor="page" w:tblpXSpec="center" w:tblpY="1"/>
        <w:tblOverlap w:val="never"/>
        <w:tblW w:w="12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657"/>
        <w:gridCol w:w="5778"/>
        <w:gridCol w:w="1485"/>
        <w:gridCol w:w="1185"/>
        <w:gridCol w:w="1425"/>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0" w:hRule="atLeast"/>
          <w:jc w:val="center"/>
        </w:trPr>
        <w:tc>
          <w:tcPr>
            <w:tcW w:w="700" w:type="dxa"/>
            <w:vAlign w:val="center"/>
          </w:tcPr>
          <w:p>
            <w:pPr>
              <w:spacing w:line="280" w:lineRule="exact"/>
              <w:jc w:val="center"/>
              <w:rPr>
                <w:rFonts w:eastAsia="黑体"/>
                <w:szCs w:val="21"/>
              </w:rPr>
            </w:pPr>
            <w:r>
              <w:rPr>
                <w:rFonts w:hint="eastAsia" w:eastAsia="黑体"/>
                <w:szCs w:val="21"/>
              </w:rPr>
              <w:t>领导分工</w:t>
            </w:r>
          </w:p>
        </w:tc>
        <w:tc>
          <w:tcPr>
            <w:tcW w:w="657" w:type="dxa"/>
            <w:vAlign w:val="center"/>
          </w:tcPr>
          <w:p>
            <w:pPr>
              <w:spacing w:line="280" w:lineRule="exact"/>
              <w:jc w:val="center"/>
              <w:rPr>
                <w:rFonts w:eastAsia="黑体"/>
                <w:szCs w:val="21"/>
              </w:rPr>
            </w:pPr>
            <w:r>
              <w:rPr>
                <w:rFonts w:hint="eastAsia" w:eastAsia="黑体"/>
                <w:szCs w:val="21"/>
              </w:rPr>
              <w:t>序号</w:t>
            </w:r>
          </w:p>
        </w:tc>
        <w:tc>
          <w:tcPr>
            <w:tcW w:w="5778" w:type="dxa"/>
            <w:vAlign w:val="center"/>
          </w:tcPr>
          <w:p>
            <w:pPr>
              <w:spacing w:line="280" w:lineRule="exact"/>
              <w:jc w:val="center"/>
              <w:rPr>
                <w:rFonts w:eastAsia="黑体"/>
                <w:szCs w:val="21"/>
              </w:rPr>
            </w:pPr>
            <w:r>
              <w:rPr>
                <w:rFonts w:hint="eastAsia" w:eastAsia="黑体"/>
                <w:szCs w:val="21"/>
              </w:rPr>
              <w:t>工作任务</w:t>
            </w:r>
          </w:p>
        </w:tc>
        <w:tc>
          <w:tcPr>
            <w:tcW w:w="1485" w:type="dxa"/>
            <w:vAlign w:val="center"/>
          </w:tcPr>
          <w:p>
            <w:pPr>
              <w:spacing w:line="280" w:lineRule="exact"/>
              <w:jc w:val="center"/>
              <w:rPr>
                <w:rFonts w:eastAsia="黑体"/>
                <w:szCs w:val="21"/>
              </w:rPr>
            </w:pPr>
            <w:r>
              <w:rPr>
                <w:rFonts w:hint="eastAsia" w:eastAsia="黑体"/>
                <w:szCs w:val="21"/>
              </w:rPr>
              <w:t>配合领导</w:t>
            </w:r>
          </w:p>
        </w:tc>
        <w:tc>
          <w:tcPr>
            <w:tcW w:w="1185" w:type="dxa"/>
            <w:vAlign w:val="center"/>
          </w:tcPr>
          <w:p>
            <w:pPr>
              <w:spacing w:line="280" w:lineRule="exact"/>
              <w:jc w:val="center"/>
              <w:rPr>
                <w:rFonts w:eastAsia="黑体"/>
                <w:szCs w:val="21"/>
              </w:rPr>
            </w:pPr>
            <w:r>
              <w:rPr>
                <w:rFonts w:hint="eastAsia" w:eastAsia="黑体"/>
                <w:szCs w:val="21"/>
              </w:rPr>
              <w:t>牵头科室</w:t>
            </w:r>
          </w:p>
        </w:tc>
        <w:tc>
          <w:tcPr>
            <w:tcW w:w="1425" w:type="dxa"/>
            <w:vAlign w:val="center"/>
          </w:tcPr>
          <w:p>
            <w:pPr>
              <w:spacing w:line="280" w:lineRule="exact"/>
              <w:jc w:val="center"/>
              <w:rPr>
                <w:rFonts w:eastAsia="黑体"/>
                <w:szCs w:val="21"/>
              </w:rPr>
            </w:pPr>
            <w:r>
              <w:rPr>
                <w:rFonts w:hint="eastAsia" w:eastAsia="黑体"/>
                <w:szCs w:val="21"/>
              </w:rPr>
              <w:t>配合科室</w:t>
            </w:r>
          </w:p>
        </w:tc>
        <w:tc>
          <w:tcPr>
            <w:tcW w:w="1335" w:type="dxa"/>
            <w:vAlign w:val="center"/>
          </w:tcPr>
          <w:p>
            <w:pPr>
              <w:spacing w:line="280" w:lineRule="exact"/>
              <w:jc w:val="center"/>
              <w:rPr>
                <w:rFonts w:eastAsia="黑体"/>
                <w:szCs w:val="21"/>
              </w:rPr>
            </w:pPr>
            <w:r>
              <w:rPr>
                <w:rFonts w:hint="eastAsia" w:eastAsia="黑体"/>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atLeast"/>
          <w:jc w:val="center"/>
        </w:trPr>
        <w:tc>
          <w:tcPr>
            <w:tcW w:w="700" w:type="dxa"/>
            <w:vMerge w:val="restart"/>
            <w:vAlign w:val="center"/>
          </w:tcPr>
          <w:p>
            <w:pPr>
              <w:spacing w:line="240" w:lineRule="atLeast"/>
              <w:jc w:val="center"/>
              <w:rPr>
                <w:rFonts w:ascii="仿宋_GB2312" w:eastAsia="仿宋_GB2312"/>
                <w:szCs w:val="21"/>
              </w:rPr>
            </w:pPr>
            <w:r>
              <w:rPr>
                <w:rFonts w:hint="eastAsia" w:ascii="仿宋_GB2312" w:eastAsia="仿宋_GB2312"/>
                <w:szCs w:val="21"/>
              </w:rPr>
              <w:t>胡</w:t>
            </w:r>
          </w:p>
          <w:p>
            <w:pPr>
              <w:spacing w:line="240" w:lineRule="atLeast"/>
              <w:jc w:val="center"/>
              <w:rPr>
                <w:rFonts w:ascii="仿宋_GB2312" w:eastAsia="仿宋_GB2312"/>
                <w:szCs w:val="21"/>
              </w:rPr>
            </w:pPr>
            <w:r>
              <w:rPr>
                <w:rFonts w:hint="eastAsia" w:ascii="仿宋_GB2312" w:eastAsia="仿宋_GB2312"/>
                <w:szCs w:val="21"/>
              </w:rPr>
              <w:t>志</w:t>
            </w:r>
          </w:p>
          <w:p>
            <w:pPr>
              <w:spacing w:line="240" w:lineRule="atLeast"/>
              <w:jc w:val="center"/>
              <w:rPr>
                <w:rFonts w:eastAsia="黑体"/>
                <w:szCs w:val="21"/>
              </w:rPr>
            </w:pPr>
            <w:r>
              <w:rPr>
                <w:rFonts w:hint="eastAsia" w:ascii="仿宋_GB2312" w:eastAsia="仿宋_GB2312"/>
                <w:szCs w:val="21"/>
              </w:rPr>
              <w:t>远</w:t>
            </w: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深入学习贯彻习近平新时代中国特色社会主义思想和党的十九大</w:t>
            </w:r>
            <w:r>
              <w:rPr>
                <w:rFonts w:hint="eastAsia" w:ascii="仿宋_GB2312" w:eastAsia="仿宋_GB2312"/>
                <w:szCs w:val="21"/>
                <w:lang w:val="en-US" w:eastAsia="zh-CN"/>
              </w:rPr>
              <w:t>和</w:t>
            </w:r>
            <w:bookmarkStart w:id="0" w:name="_GoBack"/>
            <w:bookmarkEnd w:id="0"/>
            <w:r>
              <w:rPr>
                <w:rFonts w:hint="eastAsia" w:ascii="仿宋_GB2312" w:eastAsia="仿宋_GB2312"/>
                <w:szCs w:val="21"/>
              </w:rPr>
              <w:t>十九届历次全会精神，学懂弄通做实习近平总书记关于科技创新重要论述，开展党史学习教育，组织开展建党100周年活动，扎实推进“模范机关、清廉机关”创建。</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40" w:lineRule="atLeast"/>
              <w:jc w:val="center"/>
              <w:rPr>
                <w:rFonts w:eastAsia="仿宋_GB2312"/>
                <w:szCs w:val="21"/>
              </w:rPr>
            </w:pPr>
            <w:r>
              <w:rPr>
                <w:rFonts w:hint="eastAsia"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pPr>
            <w:r>
              <w:rPr>
                <w:rFonts w:hint="eastAsia" w:ascii="仿宋_GB2312" w:eastAsia="仿宋_GB2312"/>
                <w:szCs w:val="21"/>
              </w:rPr>
              <w:t>推广中心</w:t>
            </w:r>
          </w:p>
        </w:tc>
        <w:tc>
          <w:tcPr>
            <w:tcW w:w="1335" w:type="dxa"/>
            <w:vAlign w:val="center"/>
          </w:tcPr>
          <w:p>
            <w:pPr>
              <w:spacing w:line="240" w:lineRule="atLeast"/>
              <w:jc w:val="center"/>
              <w:rPr>
                <w:rFonts w:eastAsia="仿宋_GB2312"/>
                <w:szCs w:val="21"/>
              </w:rPr>
            </w:pPr>
            <w:r>
              <w:rPr>
                <w:rFonts w:hint="eastAsia"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贯彻落实中央五中全会与省委、宁波市委及慈溪市委全会精神，全面推进创新驱动各项工作。研究制定《慈溪市加强人才引领创新驱动夺取“科技创新鼎”工作方案（建议稿）》。</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40" w:lineRule="atLeast"/>
              <w:jc w:val="center"/>
              <w:rPr>
                <w:rFonts w:eastAsia="仿宋_GB2312"/>
                <w:szCs w:val="21"/>
              </w:rPr>
            </w:pPr>
            <w:r>
              <w:rPr>
                <w:rFonts w:hint="eastAsia" w:eastAsia="仿宋_GB2312"/>
                <w:szCs w:val="21"/>
              </w:rPr>
              <w:t>进步科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40" w:lineRule="atLeast"/>
              <w:jc w:val="center"/>
              <w:rPr>
                <w:rFonts w:eastAsia="仿宋_GB2312"/>
                <w:szCs w:val="21"/>
              </w:rPr>
            </w:pPr>
            <w:r>
              <w:rPr>
                <w:rFonts w:hint="eastAsia" w:eastAsia="仿宋_GB2312"/>
                <w:szCs w:val="21"/>
              </w:rPr>
              <w:t>贯穿全年/</w:t>
            </w:r>
            <w:r>
              <w:rPr>
                <w:rFonts w:eastAsia="仿宋_GB2312"/>
                <w:szCs w:val="21"/>
              </w:rPr>
              <w:t xml:space="preserve">  3</w:t>
            </w:r>
            <w:r>
              <w:rPr>
                <w:rFonts w:hint="eastAsia" w:eastAsia="仿宋_GB2312"/>
                <w:szCs w:val="21"/>
              </w:rPr>
              <w:t>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0"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深化落实重点指标动态监测与调控机制，高新技术产业增加值在宁波排位保绿灯争前列，同比增长确保</w:t>
            </w:r>
            <w:r>
              <w:rPr>
                <w:rFonts w:ascii="仿宋_GB2312" w:eastAsia="仿宋_GB2312"/>
                <w:szCs w:val="21"/>
              </w:rPr>
              <w:t>6.5%</w:t>
            </w:r>
            <w:r>
              <w:rPr>
                <w:rFonts w:hint="eastAsia" w:ascii="仿宋_GB2312" w:eastAsia="仿宋_GB2312"/>
                <w:szCs w:val="21"/>
              </w:rPr>
              <w:t>，力争高于规上工业增加值增速1个百分点。</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40" w:lineRule="atLeast"/>
              <w:jc w:val="center"/>
              <w:rPr>
                <w:rFonts w:eastAsia="仿宋_GB2312"/>
                <w:szCs w:val="21"/>
              </w:rPr>
            </w:pPr>
            <w:r>
              <w:rPr>
                <w:rFonts w:hint="eastAsia" w:eastAsia="仿宋_GB2312"/>
                <w:szCs w:val="21"/>
              </w:rPr>
              <w:t>进步科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40" w:lineRule="atLeast"/>
              <w:jc w:val="center"/>
              <w:rPr>
                <w:rFonts w:eastAsia="仿宋_GB2312"/>
                <w:szCs w:val="21"/>
              </w:rPr>
            </w:pPr>
            <w:r>
              <w:rPr>
                <w:rFonts w:hint="eastAsia"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4</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研究制订市委科技资金专项巡察反馈意见整改方案，组织抓好贯彻实施，见行动、见成效促进面上工作。</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40" w:lineRule="atLeast"/>
              <w:jc w:val="center"/>
              <w:rPr>
                <w:rFonts w:eastAsia="仿宋_GB2312"/>
                <w:szCs w:val="21"/>
              </w:rPr>
            </w:pPr>
            <w:r>
              <w:rPr>
                <w:rFonts w:hint="eastAsia"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40" w:lineRule="atLeast"/>
              <w:jc w:val="center"/>
              <w:rPr>
                <w:rFonts w:eastAsia="仿宋_GB2312"/>
                <w:szCs w:val="21"/>
              </w:rPr>
            </w:pPr>
            <w:r>
              <w:rPr>
                <w:rFonts w:hint="eastAsia"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5</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对照国家创新型县市建设要求，提前组织预评估，及时查漏补缺，全面做好验收准备。</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40" w:lineRule="atLeast"/>
              <w:jc w:val="center"/>
              <w:rPr>
                <w:rFonts w:eastAsia="仿宋_GB2312"/>
                <w:szCs w:val="21"/>
              </w:rPr>
            </w:pPr>
            <w:r>
              <w:rPr>
                <w:rFonts w:hint="eastAsia" w:eastAsia="仿宋_GB2312"/>
                <w:szCs w:val="21"/>
              </w:rPr>
              <w:t>进步科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40" w:lineRule="atLeast"/>
              <w:jc w:val="center"/>
              <w:rPr>
                <w:rFonts w:eastAsia="仿宋_GB2312"/>
                <w:szCs w:val="21"/>
              </w:rPr>
            </w:pPr>
            <w:r>
              <w:rPr>
                <w:rFonts w:hint="eastAsia" w:eastAsia="仿宋_GB2312"/>
                <w:szCs w:val="21"/>
              </w:rPr>
              <w:t>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700" w:type="dxa"/>
            <w:vMerge w:val="restart"/>
            <w:vAlign w:val="center"/>
          </w:tcPr>
          <w:p>
            <w:pPr>
              <w:spacing w:line="240" w:lineRule="atLeast"/>
              <w:jc w:val="cente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rPr>
            </w:pP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徐</w:t>
            </w: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裔</w:t>
            </w: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君</w:t>
            </w:r>
          </w:p>
          <w:p>
            <w:pPr>
              <w:pStyle w:val="2"/>
              <w:rPr>
                <w:rFonts w:hint="eastAsia"/>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pStyle w:val="5"/>
              <w:rPr>
                <w:rFonts w:hint="eastAsia" w:ascii="仿宋_GB2312" w:eastAsia="仿宋_GB2312"/>
                <w:szCs w:val="21"/>
              </w:rPr>
            </w:pP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徐</w:t>
            </w: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裔</w:t>
            </w:r>
          </w:p>
          <w:p>
            <w:pPr>
              <w:spacing w:line="240" w:lineRule="atLeast"/>
              <w:jc w:val="center"/>
              <w:rPr>
                <w:rFonts w:hint="eastAsia" w:ascii="仿宋_GB2312" w:eastAsia="仿宋_GB2312"/>
                <w:szCs w:val="21"/>
                <w:lang w:eastAsia="zh-CN"/>
              </w:rPr>
            </w:pPr>
            <w:r>
              <w:rPr>
                <w:rFonts w:hint="eastAsia" w:ascii="仿宋_GB2312" w:eastAsia="仿宋_GB2312"/>
                <w:szCs w:val="21"/>
                <w:lang w:eastAsia="zh-CN"/>
              </w:rPr>
              <w:t>君</w:t>
            </w: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组织开展各类人才项目申报，争取宁波甬江引才工程(科技线）项目申报数不低于去年，省领军型创新创业团队申报数不少于2个。</w:t>
            </w:r>
          </w:p>
        </w:tc>
        <w:tc>
          <w:tcPr>
            <w:tcW w:w="1485" w:type="dxa"/>
            <w:vAlign w:val="center"/>
          </w:tcPr>
          <w:p>
            <w:pPr>
              <w:spacing w:line="240" w:lineRule="atLeast"/>
              <w:jc w:val="center"/>
              <w:rPr>
                <w:rFonts w:eastAsia="黑体"/>
                <w:szCs w:val="21"/>
              </w:rPr>
            </w:pPr>
          </w:p>
        </w:tc>
        <w:tc>
          <w:tcPr>
            <w:tcW w:w="1185" w:type="dxa"/>
            <w:vAlign w:val="center"/>
          </w:tcPr>
          <w:p>
            <w:pPr>
              <w:spacing w:line="240" w:lineRule="atLeast"/>
              <w:jc w:val="center"/>
              <w:rPr>
                <w:rFonts w:eastAsia="仿宋_GB2312"/>
                <w:szCs w:val="21"/>
              </w:rPr>
            </w:pPr>
            <w:r>
              <w:rPr>
                <w:rFonts w:hint="eastAsia" w:eastAsia="仿宋_GB2312"/>
                <w:szCs w:val="21"/>
              </w:rPr>
              <w:t>推广中心</w:t>
            </w:r>
          </w:p>
        </w:tc>
        <w:tc>
          <w:tcPr>
            <w:tcW w:w="1425" w:type="dxa"/>
            <w:vAlign w:val="center"/>
          </w:tcPr>
          <w:p>
            <w:pPr>
              <w:spacing w:line="240" w:lineRule="atLeast"/>
              <w:jc w:val="center"/>
              <w:rPr>
                <w:rFonts w:eastAsia="仿宋_GB2312"/>
                <w:szCs w:val="21"/>
              </w:rPr>
            </w:pPr>
            <w:r>
              <w:rPr>
                <w:rFonts w:hint="eastAsia" w:eastAsia="仿宋_GB2312"/>
                <w:szCs w:val="21"/>
              </w:rPr>
              <w:t>合作科</w:t>
            </w:r>
          </w:p>
        </w:tc>
        <w:tc>
          <w:tcPr>
            <w:tcW w:w="1335" w:type="dxa"/>
            <w:vAlign w:val="center"/>
          </w:tcPr>
          <w:p>
            <w:pPr>
              <w:spacing w:line="240" w:lineRule="atLeast"/>
              <w:jc w:val="center"/>
              <w:rPr>
                <w:rFonts w:eastAsia="仿宋_GB2312"/>
                <w:szCs w:val="21"/>
              </w:rPr>
            </w:pPr>
            <w:r>
              <w:rPr>
                <w:rFonts w:hint="eastAsia"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0"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认真落实疫情防控部署要求，做好外国专家来华许可受理。</w:t>
            </w:r>
          </w:p>
        </w:tc>
        <w:tc>
          <w:tcPr>
            <w:tcW w:w="1485" w:type="dxa"/>
            <w:vAlign w:val="center"/>
          </w:tcPr>
          <w:p>
            <w:pPr>
              <w:spacing w:line="240" w:lineRule="atLeast"/>
              <w:jc w:val="center"/>
              <w:rPr>
                <w:rFonts w:eastAsia="黑体"/>
                <w:szCs w:val="21"/>
              </w:rPr>
            </w:pPr>
          </w:p>
        </w:tc>
        <w:tc>
          <w:tcPr>
            <w:tcW w:w="1185" w:type="dxa"/>
            <w:vAlign w:val="center"/>
          </w:tcPr>
          <w:p>
            <w:pPr>
              <w:spacing w:line="240" w:lineRule="atLeast"/>
              <w:jc w:val="center"/>
              <w:rPr>
                <w:rFonts w:eastAsia="仿宋_GB2312"/>
                <w:szCs w:val="21"/>
              </w:rPr>
            </w:pPr>
            <w:r>
              <w:rPr>
                <w:rFonts w:hint="eastAsia" w:eastAsia="仿宋_GB2312"/>
                <w:szCs w:val="21"/>
              </w:rPr>
              <w:t>推广中心</w:t>
            </w:r>
          </w:p>
        </w:tc>
        <w:tc>
          <w:tcPr>
            <w:tcW w:w="1425" w:type="dxa"/>
            <w:vAlign w:val="center"/>
          </w:tcPr>
          <w:p>
            <w:pPr>
              <w:spacing w:line="240" w:lineRule="atLeast"/>
              <w:jc w:val="center"/>
              <w:rPr>
                <w:rFonts w:eastAsia="仿宋_GB2312"/>
                <w:szCs w:val="21"/>
              </w:rPr>
            </w:pPr>
            <w:r>
              <w:rPr>
                <w:rFonts w:hint="eastAsia" w:eastAsia="仿宋_GB2312"/>
                <w:szCs w:val="21"/>
              </w:rPr>
              <w:t>合作科</w:t>
            </w:r>
          </w:p>
        </w:tc>
        <w:tc>
          <w:tcPr>
            <w:tcW w:w="1335" w:type="dxa"/>
            <w:vAlign w:val="center"/>
          </w:tcPr>
          <w:p>
            <w:pPr>
              <w:spacing w:line="240" w:lineRule="atLeast"/>
              <w:jc w:val="center"/>
              <w:rPr>
                <w:rFonts w:eastAsia="仿宋_GB2312"/>
                <w:szCs w:val="21"/>
              </w:rPr>
            </w:pPr>
            <w:r>
              <w:rPr>
                <w:rFonts w:hint="eastAsia"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调研起草“上林科创走廊”建设五年行动计划，形成门类齐全、重点产业基本覆盖的科创平台建设方案。</w:t>
            </w:r>
          </w:p>
        </w:tc>
        <w:tc>
          <w:tcPr>
            <w:tcW w:w="1485" w:type="dxa"/>
            <w:vAlign w:val="center"/>
          </w:tcPr>
          <w:p>
            <w:pPr>
              <w:spacing w:line="240" w:lineRule="atLeast"/>
              <w:jc w:val="center"/>
              <w:rPr>
                <w:rFonts w:eastAsia="黑体"/>
                <w:szCs w:val="21"/>
              </w:rPr>
            </w:pPr>
            <w:r>
              <w:rPr>
                <w:rFonts w:hint="eastAsia" w:ascii="仿宋_GB2312" w:eastAsia="仿宋_GB2312"/>
                <w:szCs w:val="21"/>
              </w:rPr>
              <w:t>陈金君</w:t>
            </w:r>
          </w:p>
        </w:tc>
        <w:tc>
          <w:tcPr>
            <w:tcW w:w="1185" w:type="dxa"/>
            <w:vAlign w:val="center"/>
          </w:tcPr>
          <w:p>
            <w:pPr>
              <w:spacing w:line="240" w:lineRule="atLeast"/>
              <w:jc w:val="center"/>
              <w:rPr>
                <w:rFonts w:eastAsia="仿宋_GB2312"/>
                <w:szCs w:val="21"/>
              </w:rPr>
            </w:pPr>
            <w:r>
              <w:rPr>
                <w:rFonts w:hint="eastAsia" w:eastAsia="仿宋_GB2312"/>
                <w:szCs w:val="21"/>
              </w:rPr>
              <w:t>推广中心</w:t>
            </w:r>
          </w:p>
        </w:tc>
        <w:tc>
          <w:tcPr>
            <w:tcW w:w="1425" w:type="dxa"/>
            <w:vAlign w:val="center"/>
          </w:tcPr>
          <w:p>
            <w:pPr>
              <w:spacing w:line="240" w:lineRule="atLeast"/>
              <w:jc w:val="center"/>
              <w:rPr>
                <w:rFonts w:eastAsia="仿宋_GB2312"/>
                <w:szCs w:val="21"/>
              </w:rPr>
            </w:pPr>
            <w:r>
              <w:rPr>
                <w:rFonts w:hint="eastAsia" w:eastAsia="仿宋_GB2312"/>
                <w:szCs w:val="21"/>
              </w:rPr>
              <w:t>合作科</w:t>
            </w:r>
          </w:p>
        </w:tc>
        <w:tc>
          <w:tcPr>
            <w:tcW w:w="1335" w:type="dxa"/>
            <w:vAlign w:val="center"/>
          </w:tcPr>
          <w:p>
            <w:pPr>
              <w:spacing w:line="240" w:lineRule="atLeast"/>
              <w:jc w:val="center"/>
              <w:rPr>
                <w:rFonts w:eastAsia="仿宋_GB2312"/>
                <w:szCs w:val="21"/>
              </w:rPr>
            </w:pPr>
            <w:r>
              <w:rPr>
                <w:rFonts w:hint="eastAsia" w:ascii="仿宋_GB2312" w:eastAsia="仿宋_GB2312"/>
                <w:szCs w:val="21"/>
              </w:rPr>
              <w:t>5月底</w:t>
            </w:r>
            <w:r>
              <w:rPr>
                <w:rFonts w:hint="eastAsia"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4</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深入实施产业创新服务综合体建设三年行动计划，确保 “123”千百亿级产业集群实现建设全覆盖。</w:t>
            </w:r>
          </w:p>
        </w:tc>
        <w:tc>
          <w:tcPr>
            <w:tcW w:w="1485" w:type="dxa"/>
            <w:vAlign w:val="center"/>
          </w:tcPr>
          <w:p>
            <w:pPr>
              <w:spacing w:line="240" w:lineRule="atLeast"/>
              <w:jc w:val="center"/>
              <w:rPr>
                <w:rFonts w:eastAsia="黑体"/>
                <w:szCs w:val="21"/>
              </w:rPr>
            </w:pPr>
          </w:p>
        </w:tc>
        <w:tc>
          <w:tcPr>
            <w:tcW w:w="1185" w:type="dxa"/>
            <w:vAlign w:val="center"/>
          </w:tcPr>
          <w:p>
            <w:pPr>
              <w:spacing w:line="240" w:lineRule="atLeast"/>
              <w:jc w:val="center"/>
              <w:rPr>
                <w:rFonts w:eastAsia="仿宋_GB2312"/>
                <w:szCs w:val="21"/>
              </w:rPr>
            </w:pPr>
            <w:r>
              <w:rPr>
                <w:rFonts w:hint="eastAsia" w:eastAsia="仿宋_GB2312"/>
                <w:szCs w:val="21"/>
              </w:rPr>
              <w:t>推广中心</w:t>
            </w:r>
          </w:p>
        </w:tc>
        <w:tc>
          <w:tcPr>
            <w:tcW w:w="1425" w:type="dxa"/>
            <w:vAlign w:val="center"/>
          </w:tcPr>
          <w:p>
            <w:pPr>
              <w:spacing w:line="240" w:lineRule="atLeast"/>
              <w:jc w:val="center"/>
              <w:rPr>
                <w:rFonts w:eastAsia="仿宋_GB2312"/>
                <w:szCs w:val="21"/>
              </w:rPr>
            </w:pPr>
            <w:r>
              <w:rPr>
                <w:rFonts w:hint="eastAsia" w:eastAsia="仿宋_GB2312"/>
                <w:szCs w:val="21"/>
              </w:rPr>
              <w:t>合作科</w:t>
            </w:r>
          </w:p>
        </w:tc>
        <w:tc>
          <w:tcPr>
            <w:tcW w:w="1335" w:type="dxa"/>
            <w:vAlign w:val="center"/>
          </w:tcPr>
          <w:p>
            <w:pPr>
              <w:spacing w:line="240" w:lineRule="atLeast"/>
              <w:jc w:val="center"/>
              <w:rPr>
                <w:rFonts w:ascii="仿宋_GB2312" w:eastAsia="仿宋_GB2312"/>
                <w:szCs w:val="21"/>
              </w:rPr>
            </w:pPr>
            <w:r>
              <w:rPr>
                <w:rFonts w:hint="eastAsia" w:ascii="仿宋_GB2312" w:eastAsia="仿宋_GB2312"/>
                <w:szCs w:val="21"/>
              </w:rPr>
              <w:t>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5</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调研起草全市孵化器与众创空间培育三年行动计划，积极探索都市工业孵化器、科技型小微产业园建设路径，培育孵化器与众创空间建设的“慈溪样板”。</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4</w:t>
            </w:r>
            <w:r>
              <w:rPr>
                <w:rFonts w:hint="eastAsia" w:ascii="仿宋_GB2312" w:eastAsia="仿宋_GB2312"/>
                <w:szCs w:val="21"/>
              </w:rPr>
              <w:t>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6</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做好海卫智巢省级众创空间申报，争取上半年破零。启动智慧谷省级孵化器培育，实施运营机构市场化招标，制定孵化器运营考核办法。</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1" w:hRule="atLeast"/>
          <w:jc w:val="center"/>
        </w:trPr>
        <w:tc>
          <w:tcPr>
            <w:tcW w:w="700" w:type="dxa"/>
            <w:vMerge w:val="continue"/>
            <w:vAlign w:val="center"/>
          </w:tcPr>
          <w:p>
            <w:pPr>
              <w:widowControl/>
              <w:spacing w:line="240" w:lineRule="atLeast"/>
              <w:jc w:val="center"/>
              <w:rPr>
                <w:rFonts w:ascii="仿宋_GB2312" w:eastAsia="仿宋_GB2312"/>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7</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常态化开展“大学习大调研大抓落实”活动。利用“周二夜学”、学习强国平台，开展经常性、系统性、针对性的教育培训，提升科技干部业务素质和履职能力。深入推进“我为群众办实事、我为企业解难题、我为基层减负担”专题实践活动。</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1" w:hRule="atLeast"/>
          <w:jc w:val="center"/>
        </w:trPr>
        <w:tc>
          <w:tcPr>
            <w:tcW w:w="700" w:type="dxa"/>
            <w:vMerge w:val="continue"/>
            <w:vAlign w:val="center"/>
          </w:tcPr>
          <w:p>
            <w:pPr>
              <w:widowControl/>
              <w:spacing w:line="240" w:lineRule="atLeast"/>
              <w:jc w:val="center"/>
              <w:rPr>
                <w:rFonts w:ascii="仿宋_GB2312" w:eastAsia="仿宋_GB2312"/>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8</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加强清廉机关建设，继续开展廉政风险排查，常态化开展警示教育。</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 xml:space="preserve">各科室 </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9</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强化政策引领，研究制定2021年度科技扶持政策和实施细则。</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王能锋</w:t>
            </w:r>
          </w:p>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6</w:t>
            </w:r>
            <w:r>
              <w:rPr>
                <w:rFonts w:hint="eastAsia" w:ascii="仿宋_GB2312" w:eastAsia="仿宋_GB2312"/>
                <w:szCs w:val="21"/>
              </w:rPr>
              <w:t>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10</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完成“十四五”科技创新发展规划编制。</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王能锋</w:t>
            </w:r>
          </w:p>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5</w:t>
            </w:r>
            <w:r>
              <w:rPr>
                <w:rFonts w:hint="eastAsia" w:ascii="仿宋_GB2312" w:eastAsia="仿宋_GB2312"/>
                <w:szCs w:val="21"/>
              </w:rPr>
              <w:t>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5"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加快政府数字化转型，推进“互联网</w:t>
            </w:r>
            <w:r>
              <w:rPr>
                <w:rFonts w:ascii="仿宋_GB2312" w:eastAsia="仿宋_GB2312"/>
                <w:szCs w:val="21"/>
              </w:rPr>
              <w:t>+</w:t>
            </w:r>
            <w:r>
              <w:rPr>
                <w:rFonts w:hint="eastAsia" w:ascii="仿宋_GB2312" w:eastAsia="仿宋_GB2312"/>
                <w:szCs w:val="21"/>
              </w:rPr>
              <w:t>政务服务”、“互联网</w:t>
            </w:r>
            <w:r>
              <w:rPr>
                <w:rFonts w:ascii="仿宋_GB2312" w:eastAsia="仿宋_GB2312"/>
                <w:szCs w:val="21"/>
              </w:rPr>
              <w:t>+</w:t>
            </w:r>
            <w:r>
              <w:rPr>
                <w:rFonts w:hint="eastAsia" w:ascii="仿宋_GB2312" w:eastAsia="仿宋_GB2312"/>
                <w:szCs w:val="21"/>
              </w:rPr>
              <w:t>监管”工作，全面应用政务服务</w:t>
            </w:r>
            <w:r>
              <w:rPr>
                <w:rFonts w:ascii="仿宋_GB2312" w:eastAsia="仿宋_GB2312"/>
                <w:szCs w:val="21"/>
              </w:rPr>
              <w:t>2.0</w:t>
            </w:r>
            <w:r>
              <w:rPr>
                <w:rFonts w:hint="eastAsia" w:ascii="仿宋_GB2312" w:eastAsia="仿宋_GB2312"/>
                <w:szCs w:val="21"/>
              </w:rPr>
              <w:t>系统，开展“外国人来华工作监管”事项和“科技型中小企业检查”事项的掌上执法检查；推进惠企政策在</w:t>
            </w:r>
            <w:r>
              <w:rPr>
                <w:rFonts w:ascii="仿宋_GB2312" w:eastAsia="仿宋_GB2312"/>
                <w:szCs w:val="21"/>
              </w:rPr>
              <w:t xml:space="preserve"> </w:t>
            </w:r>
            <w:r>
              <w:rPr>
                <w:rFonts w:hint="eastAsia" w:ascii="仿宋_GB2312" w:eastAsia="仿宋_GB2312"/>
                <w:szCs w:val="21"/>
              </w:rPr>
              <w:t>“甬易办”上线兑付。</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加强财务管理，组织做好部门预决算、产业研究院年度审计和科技飞地绩效评价工作，修订出台局内部财务管理制度，完善行政事业单位内控制度，建立内控小组、制定内控方案。</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王能锋</w:t>
            </w:r>
          </w:p>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6" w:hRule="atLeast"/>
          <w:jc w:val="center"/>
        </w:trPr>
        <w:tc>
          <w:tcPr>
            <w:tcW w:w="700" w:type="dxa"/>
            <w:vMerge w:val="restart"/>
            <w:vAlign w:val="center"/>
          </w:tcPr>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pStyle w:val="2"/>
              <w:ind w:firstLine="210"/>
              <w:jc w:val="center"/>
            </w:pPr>
          </w:p>
          <w:p>
            <w:pPr>
              <w:pStyle w:val="5"/>
              <w:jc w:val="center"/>
              <w:rPr>
                <w:rFonts w:hint="eastAsia"/>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ascii="仿宋_GB2312" w:eastAsia="仿宋_GB2312"/>
                <w:szCs w:val="21"/>
              </w:rPr>
            </w:pPr>
            <w:r>
              <w:rPr>
                <w:rFonts w:hint="eastAsia" w:ascii="仿宋_GB2312" w:eastAsia="仿宋_GB2312"/>
                <w:szCs w:val="21"/>
              </w:rPr>
              <w:t>王</w:t>
            </w:r>
          </w:p>
          <w:p>
            <w:pPr>
              <w:spacing w:line="240" w:lineRule="atLeast"/>
              <w:jc w:val="center"/>
              <w:rPr>
                <w:rFonts w:ascii="仿宋_GB2312" w:eastAsia="仿宋_GB2312"/>
                <w:szCs w:val="21"/>
              </w:rPr>
            </w:pPr>
            <w:r>
              <w:rPr>
                <w:rFonts w:hint="eastAsia" w:ascii="仿宋_GB2312" w:eastAsia="仿宋_GB2312"/>
                <w:szCs w:val="21"/>
              </w:rPr>
              <w:t>能</w:t>
            </w:r>
          </w:p>
          <w:p>
            <w:pPr>
              <w:spacing w:line="240" w:lineRule="atLeast"/>
              <w:jc w:val="center"/>
              <w:rPr>
                <w:rFonts w:ascii="仿宋_GB2312" w:eastAsia="仿宋_GB2312"/>
                <w:szCs w:val="21"/>
              </w:rPr>
            </w:pPr>
            <w:r>
              <w:rPr>
                <w:rFonts w:hint="eastAsia" w:ascii="仿宋_GB2312" w:eastAsia="仿宋_GB2312"/>
                <w:szCs w:val="21"/>
              </w:rPr>
              <w:t>锋</w:t>
            </w:r>
          </w:p>
          <w:p>
            <w:pPr>
              <w:pStyle w:val="2"/>
              <w:ind w:firstLine="210"/>
              <w:jc w:val="center"/>
            </w:pPr>
          </w:p>
          <w:p>
            <w:pPr>
              <w:pStyle w:val="5"/>
              <w:jc w:val="center"/>
            </w:pPr>
          </w:p>
          <w:p>
            <w:pPr>
              <w:pStyle w:val="5"/>
              <w:jc w:val="center"/>
            </w:pPr>
          </w:p>
          <w:p>
            <w:pPr>
              <w:pStyle w:val="5"/>
              <w:jc w:val="center"/>
            </w:pPr>
          </w:p>
          <w:p>
            <w:pPr>
              <w:pStyle w:val="5"/>
              <w:jc w:val="center"/>
            </w:pPr>
          </w:p>
          <w:p>
            <w:pPr>
              <w:pStyle w:val="5"/>
              <w:jc w:val="center"/>
            </w:pPr>
          </w:p>
          <w:p>
            <w:pPr>
              <w:pStyle w:val="5"/>
              <w:jc w:val="center"/>
              <w:rPr>
                <w:rFonts w:hint="eastAsia"/>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p>
          <w:p>
            <w:pPr>
              <w:spacing w:line="240" w:lineRule="atLeast"/>
              <w:jc w:val="center"/>
              <w:rPr>
                <w:rFonts w:hint="eastAsia" w:ascii="仿宋_GB2312" w:eastAsia="仿宋_GB2312"/>
                <w:szCs w:val="21"/>
              </w:rPr>
            </w:pPr>
            <w:r>
              <w:rPr>
                <w:rFonts w:hint="eastAsia" w:ascii="仿宋_GB2312" w:eastAsia="仿宋_GB2312"/>
                <w:szCs w:val="21"/>
              </w:rPr>
              <w:t>王</w:t>
            </w:r>
          </w:p>
          <w:p>
            <w:pPr>
              <w:spacing w:line="240" w:lineRule="atLeast"/>
              <w:jc w:val="center"/>
              <w:rPr>
                <w:rFonts w:ascii="仿宋_GB2312" w:eastAsia="仿宋_GB2312"/>
                <w:szCs w:val="21"/>
              </w:rPr>
            </w:pPr>
            <w:r>
              <w:rPr>
                <w:rFonts w:hint="eastAsia" w:ascii="仿宋_GB2312" w:eastAsia="仿宋_GB2312"/>
                <w:szCs w:val="21"/>
              </w:rPr>
              <w:t>能</w:t>
            </w:r>
          </w:p>
          <w:p>
            <w:pPr>
              <w:spacing w:line="240" w:lineRule="atLeast"/>
              <w:jc w:val="center"/>
              <w:rPr>
                <w:rFonts w:eastAsia="黑体"/>
                <w:szCs w:val="21"/>
              </w:rPr>
            </w:pPr>
            <w:r>
              <w:rPr>
                <w:rFonts w:hint="eastAsia" w:ascii="仿宋_GB2312" w:eastAsia="仿宋_GB2312"/>
                <w:szCs w:val="21"/>
              </w:rPr>
              <w:t>锋</w:t>
            </w: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协同市发改局、经信局等单位，做好开发区（园区）整合提升工作。</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研究提出推动慈溪开发区（园区）高新化发展的指导意见。</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做好慈溪智能家电省级高新园区申报创建工作。</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4</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研究制定智能家电省级高新技术产业园区科技配套。</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5</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依托材料所先进科研水平，结合各镇发展特色，与各镇、街道开展合作，计划四技合作18项以上，合同金额不低于360万</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6</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与宁波市多家医院（包含慈溪市医院）签订横向项目合作，合作金额200万元以上。</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茅连行</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7</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做好中科院两平台联系服务工作。</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班子成员</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慈溪中心</w:t>
            </w:r>
          </w:p>
          <w:p>
            <w:pPr>
              <w:spacing w:line="280" w:lineRule="exact"/>
              <w:jc w:val="center"/>
              <w:rPr>
                <w:rFonts w:eastAsia="仿宋_GB2312"/>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8</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 xml:space="preserve">实现重大成果转化、落地，引领行业技术革新。今年争取落地转化技术2项以上 </w:t>
            </w:r>
          </w:p>
        </w:tc>
        <w:tc>
          <w:tcPr>
            <w:tcW w:w="1485" w:type="dxa"/>
            <w:vAlign w:val="center"/>
          </w:tcPr>
          <w:p>
            <w:pPr>
              <w:spacing w:line="280" w:lineRule="exact"/>
              <w:jc w:val="center"/>
              <w:rPr>
                <w:rFonts w:ascii="仿宋_GB2312" w:eastAsia="仿宋_GB2312"/>
                <w:color w:val="FF0000"/>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9</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公共技术平台为地方检测提供服务，扩大慈溪医工所测试中心在地方的影响力，力争今年对外测试服务100家单位</w:t>
            </w:r>
          </w:p>
        </w:tc>
        <w:tc>
          <w:tcPr>
            <w:tcW w:w="1485" w:type="dxa"/>
            <w:vAlign w:val="center"/>
          </w:tcPr>
          <w:p>
            <w:pPr>
              <w:spacing w:line="280" w:lineRule="exact"/>
              <w:jc w:val="center"/>
              <w:rPr>
                <w:rFonts w:ascii="仿宋_GB2312" w:eastAsia="仿宋_GB2312"/>
                <w:color w:val="FF0000"/>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10</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落实公共技术平台CNAS认可资质，借力宁波材料所测试中心或者浙江省医疗器械检验院CNAS资质，力争今年拿到实验室检测和校准的CNAS资质认可</w:t>
            </w:r>
          </w:p>
        </w:tc>
        <w:tc>
          <w:tcPr>
            <w:tcW w:w="1485" w:type="dxa"/>
            <w:vAlign w:val="center"/>
          </w:tcPr>
          <w:p>
            <w:pPr>
              <w:spacing w:line="280" w:lineRule="exact"/>
              <w:jc w:val="center"/>
              <w:rPr>
                <w:rFonts w:ascii="仿宋_GB2312" w:eastAsia="仿宋_GB2312"/>
                <w:color w:val="FF0000"/>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研究制定中科院两平台市场化运作方案，并适时启动。</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慈溪中心</w:t>
            </w:r>
          </w:p>
          <w:p>
            <w:pPr>
              <w:spacing w:line="280" w:lineRule="exact"/>
              <w:jc w:val="center"/>
              <w:rPr>
                <w:rFonts w:eastAsia="仿宋_GB2312"/>
              </w:rPr>
            </w:pPr>
            <w:r>
              <w:rPr>
                <w:rFonts w:hint="eastAsia" w:ascii="仿宋_GB2312" w:eastAsia="仿宋_GB2312"/>
                <w:szCs w:val="21"/>
              </w:rPr>
              <w:t>医工所</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为支持入驻项目团队获得慈溪域外更大能级、更多层次的来源支持、做大做强，今年新一轮拟引进项目2个。</w:t>
            </w:r>
          </w:p>
        </w:tc>
        <w:tc>
          <w:tcPr>
            <w:tcW w:w="1485" w:type="dxa"/>
            <w:vAlign w:val="center"/>
          </w:tcPr>
          <w:p>
            <w:pPr>
              <w:spacing w:line="280" w:lineRule="exact"/>
              <w:jc w:val="center"/>
              <w:rPr>
                <w:rFonts w:ascii="仿宋_GB2312" w:eastAsia="仿宋_GB2312"/>
                <w:color w:val="FF0000"/>
                <w:szCs w:val="21"/>
              </w:rPr>
            </w:pPr>
          </w:p>
        </w:tc>
        <w:tc>
          <w:tcPr>
            <w:tcW w:w="1185" w:type="dxa"/>
            <w:vAlign w:val="center"/>
          </w:tcPr>
          <w:p>
            <w:pPr>
              <w:spacing w:line="280" w:lineRule="exact"/>
              <w:jc w:val="center"/>
              <w:rPr>
                <w:rFonts w:ascii="仿宋_GB2312" w:eastAsia="仿宋_GB2312"/>
                <w:color w:val="FF0000"/>
                <w:szCs w:val="21"/>
              </w:rPr>
            </w:pPr>
            <w:r>
              <w:rPr>
                <w:rFonts w:hint="eastAsia" w:ascii="仿宋_GB2312" w:eastAsia="仿宋_GB2312"/>
                <w:szCs w:val="21"/>
              </w:rPr>
              <w:t>慈溪中心</w:t>
            </w:r>
          </w:p>
        </w:tc>
        <w:tc>
          <w:tcPr>
            <w:tcW w:w="1425" w:type="dxa"/>
            <w:vAlign w:val="center"/>
          </w:tcPr>
          <w:p>
            <w:pPr>
              <w:spacing w:line="280" w:lineRule="exact"/>
              <w:jc w:val="center"/>
              <w:rPr>
                <w:rFonts w:ascii="仿宋_GB2312" w:eastAsia="仿宋_GB2312"/>
                <w:color w:val="FF0000"/>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做好中科院两平台相关项目搬迁遗留工作，推动中科院两平台产业化项目在各产业平台落户。</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徐裔君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慈溪中心</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1" w:hRule="atLeast"/>
          <w:jc w:val="center"/>
        </w:trPr>
        <w:tc>
          <w:tcPr>
            <w:tcW w:w="700" w:type="dxa"/>
            <w:vMerge w:val="restart"/>
            <w:vAlign w:val="center"/>
          </w:tcPr>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p>
          <w:p>
            <w:pPr>
              <w:spacing w:line="240" w:lineRule="atLeast"/>
              <w:jc w:val="center"/>
              <w:rPr>
                <w:rFonts w:ascii="仿宋_GB2312" w:eastAsia="仿宋_GB2312"/>
                <w:szCs w:val="21"/>
              </w:rPr>
            </w:pPr>
            <w:r>
              <w:rPr>
                <w:rFonts w:hint="eastAsia" w:ascii="仿宋_GB2312" w:eastAsia="仿宋_GB2312"/>
                <w:szCs w:val="21"/>
              </w:rPr>
              <w:t>陈</w:t>
            </w:r>
          </w:p>
          <w:p>
            <w:pPr>
              <w:spacing w:line="240" w:lineRule="atLeast"/>
              <w:jc w:val="center"/>
              <w:rPr>
                <w:rFonts w:ascii="仿宋_GB2312" w:eastAsia="仿宋_GB2312"/>
                <w:szCs w:val="21"/>
              </w:rPr>
            </w:pPr>
            <w:r>
              <w:rPr>
                <w:rFonts w:hint="eastAsia" w:ascii="仿宋_GB2312" w:eastAsia="仿宋_GB2312"/>
                <w:szCs w:val="21"/>
              </w:rPr>
              <w:t>金</w:t>
            </w:r>
          </w:p>
          <w:p>
            <w:pPr>
              <w:spacing w:line="240" w:lineRule="atLeast"/>
              <w:jc w:val="center"/>
              <w:rPr>
                <w:rFonts w:eastAsia="黑体"/>
                <w:szCs w:val="21"/>
              </w:rPr>
            </w:pPr>
            <w:r>
              <w:rPr>
                <w:rFonts w:hint="eastAsia" w:ascii="仿宋_GB2312" w:eastAsia="仿宋_GB2312"/>
                <w:szCs w:val="21"/>
              </w:rPr>
              <w:t>君</w:t>
            </w:r>
          </w:p>
          <w:p>
            <w:pPr>
              <w:pStyle w:val="5"/>
              <w:jc w:val="cente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征集推送</w:t>
            </w:r>
            <w:r>
              <w:rPr>
                <w:rFonts w:ascii="仿宋_GB2312" w:eastAsia="仿宋_GB2312"/>
                <w:szCs w:val="21"/>
              </w:rPr>
              <w:t>2021</w:t>
            </w:r>
            <w:r>
              <w:rPr>
                <w:rFonts w:hint="eastAsia" w:ascii="仿宋_GB2312" w:eastAsia="仿宋_GB2312"/>
                <w:szCs w:val="21"/>
              </w:rPr>
              <w:t>年宁波市重大科技任务攻关项目指南编制专家；鼓励企业与高校联合攻关，积极申报宁波市“科技创新</w:t>
            </w:r>
            <w:r>
              <w:rPr>
                <w:rFonts w:ascii="仿宋_GB2312" w:eastAsia="仿宋_GB2312"/>
                <w:szCs w:val="21"/>
              </w:rPr>
              <w:t>2025</w:t>
            </w:r>
            <w:r>
              <w:rPr>
                <w:rFonts w:hint="eastAsia" w:ascii="仿宋_GB2312" w:eastAsia="仿宋_GB2312"/>
                <w:szCs w:val="21"/>
              </w:rPr>
              <w:t>”重大专项，争取入选</w:t>
            </w:r>
            <w:r>
              <w:rPr>
                <w:rFonts w:ascii="仿宋_GB2312" w:eastAsia="仿宋_GB2312"/>
                <w:szCs w:val="21"/>
              </w:rPr>
              <w:t>1</w:t>
            </w:r>
            <w:r>
              <w:rPr>
                <w:rFonts w:hint="eastAsia" w:ascii="仿宋_GB2312" w:eastAsia="仿宋_GB2312"/>
                <w:szCs w:val="21"/>
              </w:rPr>
              <w:t>0项以上。</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王能锋</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p>
            <w:pPr>
              <w:spacing w:line="280" w:lineRule="exact"/>
              <w:jc w:val="center"/>
              <w:rPr>
                <w:rFonts w:ascii="仿宋_GB2312" w:eastAsia="仿宋_GB2312"/>
                <w:szCs w:val="21"/>
              </w:rPr>
            </w:pPr>
            <w:r>
              <w:rPr>
                <w:rFonts w:hint="eastAsia" w:ascii="仿宋_GB2312" w:eastAsia="仿宋_GB2312"/>
                <w:szCs w:val="21"/>
              </w:rPr>
              <w:t>进步科</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8</w:t>
            </w:r>
            <w:r>
              <w:rPr>
                <w:rFonts w:hint="eastAsia" w:ascii="仿宋_GB2312" w:eastAsia="仿宋_GB2312"/>
                <w:szCs w:val="21"/>
              </w:rPr>
              <w:t>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制定“科技独角兽”工程五年行动计划。筛选出首批培育企业名单，扎实推进相关培育扶持措施落实。</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3</w:t>
            </w:r>
            <w:r>
              <w:rPr>
                <w:rFonts w:hint="eastAsia" w:ascii="仿宋_GB2312" w:eastAsia="仿宋_GB2312"/>
                <w:szCs w:val="21"/>
              </w:rPr>
              <w:t>月底/贯穿全年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大力培育创新型企业梯队，高新技术企业确保净增70家、累计达到450家，力争净增100家、累计达到480家。新认定国家科技型中小企业</w:t>
            </w:r>
            <w:r>
              <w:rPr>
                <w:rFonts w:ascii="仿宋_GB2312" w:eastAsia="仿宋_GB2312"/>
                <w:szCs w:val="21"/>
              </w:rPr>
              <w:t>400</w:t>
            </w:r>
            <w:r>
              <w:rPr>
                <w:rFonts w:hint="eastAsia" w:ascii="仿宋_GB2312" w:eastAsia="仿宋_GB2312"/>
                <w:szCs w:val="21"/>
              </w:rPr>
              <w:t>家。布局一批重点实验室和高水平技术创新中心，新增企业省级研发机构</w:t>
            </w:r>
            <w:r>
              <w:rPr>
                <w:rFonts w:ascii="仿宋_GB2312" w:eastAsia="仿宋_GB2312"/>
                <w:szCs w:val="21"/>
              </w:rPr>
              <w:t>5</w:t>
            </w:r>
            <w:r>
              <w:rPr>
                <w:rFonts w:hint="eastAsia" w:ascii="仿宋_GB2312" w:eastAsia="仿宋_GB2312"/>
                <w:szCs w:val="21"/>
              </w:rPr>
              <w:t>家。</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4</w:t>
            </w:r>
          </w:p>
        </w:tc>
        <w:tc>
          <w:tcPr>
            <w:tcW w:w="5778" w:type="dxa"/>
            <w:vAlign w:val="center"/>
          </w:tcPr>
          <w:p>
            <w:pPr>
              <w:spacing w:line="280" w:lineRule="exact"/>
              <w:rPr>
                <w:rFonts w:hint="eastAsia" w:ascii="仿宋_GB2312" w:eastAsia="仿宋_GB2312"/>
                <w:szCs w:val="21"/>
                <w:lang w:eastAsia="zh-CN"/>
              </w:rPr>
            </w:pPr>
            <w:r>
              <w:rPr>
                <w:rFonts w:hint="eastAsia" w:ascii="仿宋_GB2312" w:eastAsia="仿宋_GB2312"/>
                <w:szCs w:val="21"/>
              </w:rPr>
              <w:t>配合做好制造业全域治理工作，与相关镇街道协同推进“一镇一方案”实施。适时组织开展行业性消防安全、废水废气减排等共性技术攻关的“揭榜挂帅”</w:t>
            </w:r>
            <w:r>
              <w:rPr>
                <w:rFonts w:hint="eastAsia" w:ascii="仿宋_GB2312" w:eastAsia="仿宋_GB2312"/>
                <w:szCs w:val="21"/>
                <w:lang w:eastAsia="zh-CN"/>
              </w:rPr>
              <w:t>。</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徐裔君</w:t>
            </w:r>
          </w:p>
        </w:tc>
        <w:tc>
          <w:tcPr>
            <w:tcW w:w="1185" w:type="dxa"/>
            <w:vAlign w:val="center"/>
          </w:tcPr>
          <w:p>
            <w:pPr>
              <w:spacing w:line="280" w:lineRule="exact"/>
              <w:jc w:val="center"/>
              <w:rPr>
                <w:rFonts w:hint="eastAsia"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hint="eastAsia" w:ascii="仿宋_GB2312" w:eastAsia="仿宋_GB2312"/>
                <w:szCs w:val="21"/>
              </w:rPr>
            </w:pPr>
            <w:r>
              <w:rPr>
                <w:rFonts w:hint="eastAsia" w:ascii="仿宋_GB2312" w:eastAsia="仿宋_GB2312"/>
                <w:szCs w:val="21"/>
              </w:rPr>
              <w:t>计划科</w:t>
            </w:r>
          </w:p>
          <w:p>
            <w:pPr>
              <w:spacing w:line="280" w:lineRule="exact"/>
              <w:jc w:val="center"/>
              <w:rPr>
                <w:rFonts w:hint="eastAsia"/>
              </w:rPr>
            </w:pPr>
            <w:r>
              <w:rPr>
                <w:rFonts w:hint="eastAsia" w:ascii="仿宋_GB2312" w:eastAsia="仿宋_GB2312"/>
                <w:szCs w:val="21"/>
              </w:rPr>
              <w:t>推广中心</w:t>
            </w:r>
          </w:p>
        </w:tc>
        <w:tc>
          <w:tcPr>
            <w:tcW w:w="1335" w:type="dxa"/>
            <w:vAlign w:val="center"/>
          </w:tcPr>
          <w:p>
            <w:pPr>
              <w:spacing w:line="280" w:lineRule="exact"/>
              <w:jc w:val="center"/>
              <w:rPr>
                <w:rFonts w:hint="eastAsia" w:ascii="仿宋_GB2312" w:eastAsia="仿宋_GB2312"/>
                <w:szCs w:val="21"/>
                <w:lang w:eastAsia="zh-CN"/>
              </w:rPr>
            </w:pPr>
            <w:r>
              <w:rPr>
                <w:rFonts w:hint="eastAsia" w:ascii="仿宋_GB2312" w:eastAsia="仿宋_GB2312"/>
                <w:szCs w:val="21"/>
                <w:lang w:eastAsia="zh-CN"/>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5</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深入实施研发投入提升专项行动，全面推广“企业研究开发项目信息管理系统”应用系统，研发投入强度达到</w:t>
            </w:r>
            <w:r>
              <w:rPr>
                <w:rFonts w:ascii="仿宋_GB2312" w:eastAsia="仿宋_GB2312"/>
                <w:szCs w:val="21"/>
              </w:rPr>
              <w:t>3.3%</w:t>
            </w:r>
            <w:r>
              <w:rPr>
                <w:rFonts w:hint="eastAsia" w:ascii="仿宋_GB2312" w:eastAsia="仿宋_GB2312"/>
                <w:szCs w:val="21"/>
              </w:rPr>
              <w:t>。</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6</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完善“创新地图”，推广研发检测设施共享系统、研发投入监测统计系统两个应用，为“工业地图”提供支撑。</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7</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对接虹口区科委，起草虹口-慈溪科技孵化项目产业化合作协议，组织引进若干家与我市主导产业关联性强的成熟孵化项目来我市落户，筹划建设虹口（慈溪）科创飞地。</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6" w:hRule="atLeast"/>
          <w:jc w:val="center"/>
        </w:trPr>
        <w:tc>
          <w:tcPr>
            <w:tcW w:w="700" w:type="dxa"/>
            <w:vMerge w:val="restart"/>
            <w:vAlign w:val="center"/>
          </w:tcPr>
          <w:p>
            <w:pPr>
              <w:spacing w:line="240" w:lineRule="atLeast"/>
              <w:jc w:val="center"/>
              <w:rPr>
                <w:rFonts w:ascii="仿宋_GB2312" w:eastAsia="仿宋_GB2312"/>
                <w:szCs w:val="21"/>
              </w:rPr>
            </w:pPr>
            <w:r>
              <w:rPr>
                <w:rFonts w:hint="eastAsia" w:ascii="仿宋_GB2312" w:eastAsia="仿宋_GB2312"/>
                <w:szCs w:val="21"/>
              </w:rPr>
              <w:t>陈</w:t>
            </w:r>
          </w:p>
          <w:p>
            <w:pPr>
              <w:spacing w:line="240" w:lineRule="atLeast"/>
              <w:jc w:val="center"/>
              <w:rPr>
                <w:rFonts w:ascii="仿宋_GB2312" w:eastAsia="仿宋_GB2312"/>
                <w:szCs w:val="21"/>
              </w:rPr>
            </w:pPr>
            <w:r>
              <w:rPr>
                <w:rFonts w:hint="eastAsia" w:ascii="仿宋_GB2312" w:eastAsia="仿宋_GB2312"/>
                <w:szCs w:val="21"/>
              </w:rPr>
              <w:t>金</w:t>
            </w:r>
          </w:p>
          <w:p>
            <w:pPr>
              <w:spacing w:line="240" w:lineRule="atLeast"/>
              <w:jc w:val="center"/>
              <w:rPr>
                <w:rFonts w:eastAsia="黑体"/>
                <w:szCs w:val="21"/>
              </w:rPr>
            </w:pPr>
            <w:r>
              <w:rPr>
                <w:rFonts w:hint="eastAsia" w:ascii="仿宋_GB2312" w:eastAsia="仿宋_GB2312"/>
                <w:szCs w:val="21"/>
              </w:rPr>
              <w:t>君</w:t>
            </w:r>
          </w:p>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8</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加强与同济大学合作，筹划共建“智能型新能源汽车产业化基地”。</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9</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组织开展“千企百校万里行”活动，全年不少于3场。</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10</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优化完善上海、杭州“飞地”运行管理机制，促进区域经济协作，推动科技成果在慈溪转化。</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健全协同创新研究院机制，推广“专家服务团+签约教授”模式，力争入驻高校院所4家以上。</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w:t>
            </w:r>
            <w:r>
              <w:rPr>
                <w:rFonts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与4家合作银行和2家保险公司开展慈溪市科技中小企业风险池信贷合作业务，全年争取为30家以上科技型企业提供科技信贷。全年发放科技创新券500万元。</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1</w:t>
            </w:r>
            <w:r>
              <w:rPr>
                <w:rFonts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深入实施科技大市场2.0版，建设宁波科技大市场慈溪分市场，搭建科技成果产业化应用对接平台，建设“一企业一专家”工作载体。</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计划科</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restart"/>
            <w:vAlign w:val="center"/>
          </w:tcPr>
          <w:p>
            <w:pPr>
              <w:spacing w:line="240" w:lineRule="atLeast"/>
              <w:jc w:val="center"/>
              <w:rPr>
                <w:rFonts w:ascii="仿宋_GB2312" w:eastAsia="仿宋_GB2312"/>
                <w:szCs w:val="21"/>
              </w:rPr>
            </w:pPr>
            <w:r>
              <w:rPr>
                <w:rFonts w:hint="eastAsia" w:ascii="仿宋_GB2312" w:eastAsia="仿宋_GB2312"/>
                <w:szCs w:val="21"/>
              </w:rPr>
              <w:t>孙</w:t>
            </w:r>
          </w:p>
          <w:p>
            <w:pPr>
              <w:spacing w:line="240" w:lineRule="atLeast"/>
              <w:jc w:val="center"/>
              <w:rPr>
                <w:rFonts w:ascii="仿宋_GB2312" w:eastAsia="仿宋_GB2312"/>
                <w:szCs w:val="21"/>
              </w:rPr>
            </w:pPr>
            <w:r>
              <w:rPr>
                <w:rFonts w:hint="eastAsia" w:ascii="仿宋_GB2312" w:eastAsia="仿宋_GB2312"/>
                <w:szCs w:val="21"/>
              </w:rPr>
              <w:t>灿</w:t>
            </w:r>
          </w:p>
          <w:p>
            <w:pPr>
              <w:spacing w:line="240" w:lineRule="atLeast"/>
              <w:jc w:val="center"/>
              <w:rPr>
                <w:rFonts w:eastAsia="黑体"/>
                <w:szCs w:val="21"/>
              </w:rPr>
            </w:pPr>
            <w:r>
              <w:rPr>
                <w:rFonts w:hint="eastAsia" w:ascii="仿宋_GB2312" w:eastAsia="仿宋_GB2312"/>
                <w:szCs w:val="21"/>
              </w:rPr>
              <w:t>华</w:t>
            </w: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完成“科技创新领航企业”和“科技创新领军人物”认定。</w:t>
            </w:r>
          </w:p>
        </w:tc>
        <w:tc>
          <w:tcPr>
            <w:tcW w:w="1485" w:type="dxa"/>
            <w:vAlign w:val="center"/>
          </w:tcPr>
          <w:p>
            <w:pPr>
              <w:spacing w:line="280" w:lineRule="exact"/>
              <w:jc w:val="center"/>
              <w:rPr>
                <w:rFonts w:ascii="仿宋_GB2312" w:eastAsia="仿宋_GB2312"/>
                <w:szCs w:val="21"/>
              </w:rPr>
            </w:pPr>
            <w:r>
              <w:rPr>
                <w:rFonts w:hint="eastAsia" w:ascii="仿宋_GB2312" w:eastAsia="仿宋_GB2312"/>
                <w:szCs w:val="21"/>
              </w:rPr>
              <w:t>徐裔君</w:t>
            </w:r>
          </w:p>
          <w:p>
            <w:pPr>
              <w:spacing w:line="280" w:lineRule="exact"/>
              <w:jc w:val="center"/>
              <w:rPr>
                <w:rFonts w:ascii="仿宋_GB2312" w:eastAsia="仿宋_GB2312"/>
                <w:szCs w:val="21"/>
              </w:rPr>
            </w:pPr>
            <w:r>
              <w:rPr>
                <w:rFonts w:hint="eastAsia" w:ascii="仿宋_GB2312" w:eastAsia="仿宋_GB2312"/>
                <w:szCs w:val="21"/>
              </w:rPr>
              <w:t>陈金君</w:t>
            </w: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p>
            <w:pPr>
              <w:spacing w:line="280" w:lineRule="exact"/>
              <w:jc w:val="center"/>
              <w:rPr>
                <w:rFonts w:ascii="仿宋_GB2312" w:eastAsia="仿宋_GB2312"/>
                <w:szCs w:val="21"/>
              </w:rPr>
            </w:pPr>
            <w:r>
              <w:rPr>
                <w:rFonts w:hint="eastAsia" w:ascii="仿宋_GB2312" w:eastAsia="仿宋_GB2312"/>
                <w:szCs w:val="21"/>
              </w:rPr>
              <w:t>进步科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各科室</w:t>
            </w:r>
          </w:p>
          <w:p>
            <w:pPr>
              <w:spacing w:line="280" w:lineRule="exact"/>
              <w:jc w:val="center"/>
              <w:rPr>
                <w:rFonts w:ascii="仿宋_GB2312" w:eastAsia="仿宋_GB2312"/>
                <w:szCs w:val="21"/>
              </w:rPr>
            </w:pPr>
            <w:r>
              <w:rPr>
                <w:rFonts w:hint="eastAsia" w:ascii="仿宋_GB2312" w:eastAsia="仿宋_GB2312"/>
                <w:szCs w:val="21"/>
              </w:rPr>
              <w:t>推广中心</w:t>
            </w:r>
          </w:p>
        </w:tc>
        <w:tc>
          <w:tcPr>
            <w:tcW w:w="1335" w:type="dxa"/>
            <w:vAlign w:val="center"/>
          </w:tcPr>
          <w:p>
            <w:pPr>
              <w:spacing w:line="280" w:lineRule="exact"/>
              <w:jc w:val="center"/>
              <w:rPr>
                <w:rFonts w:ascii="仿宋_GB2312" w:eastAsia="仿宋_GB2312"/>
                <w:szCs w:val="21"/>
              </w:rPr>
            </w:pPr>
            <w:r>
              <w:rPr>
                <w:rFonts w:ascii="仿宋_GB2312" w:eastAsia="仿宋_GB2312"/>
                <w:szCs w:val="21"/>
              </w:rPr>
              <w:t>3</w:t>
            </w:r>
            <w:r>
              <w:rPr>
                <w:rFonts w:hint="eastAsia" w:ascii="仿宋_GB2312" w:eastAsia="仿宋_GB2312"/>
                <w:szCs w:val="21"/>
              </w:rPr>
              <w:t>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加快组织实施科技部“百城百园”行动，积极推进一批先进适用重大科技成果落地转化。</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进步科</w:t>
            </w:r>
          </w:p>
        </w:tc>
        <w:tc>
          <w:tcPr>
            <w:tcW w:w="1425" w:type="dxa"/>
            <w:vAlign w:val="center"/>
          </w:tcPr>
          <w:p>
            <w:pPr>
              <w:spacing w:line="280" w:lineRule="exact"/>
              <w:jc w:val="center"/>
              <w:rPr>
                <w:rFonts w:ascii="仿宋_GB2312" w:eastAsia="仿宋_GB2312"/>
                <w:szCs w:val="21"/>
              </w:rPr>
            </w:pPr>
            <w:r>
              <w:rPr>
                <w:rFonts w:hint="eastAsia" w:ascii="仿宋_GB2312" w:eastAsia="仿宋_GB2312"/>
                <w:szCs w:val="21"/>
              </w:rPr>
              <w:t>办公室</w:t>
            </w: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深入贯彻实施“山海协作”工程，加强双方交流合作。</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合作科</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widowControl/>
              <w:spacing w:line="240" w:lineRule="atLeast"/>
              <w:jc w:val="center"/>
              <w:rPr>
                <w:rFonts w:eastAsia="黑体"/>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4</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创新院士风采馆运营机制，及时做好内容更新、设备更新工作，提升宣传展示效应。</w:t>
            </w:r>
          </w:p>
        </w:tc>
        <w:tc>
          <w:tcPr>
            <w:tcW w:w="1485" w:type="dxa"/>
            <w:vAlign w:val="center"/>
          </w:tcPr>
          <w:p>
            <w:pPr>
              <w:spacing w:line="280" w:lineRule="exact"/>
              <w:jc w:val="center"/>
              <w:rPr>
                <w:rFonts w:ascii="仿宋_GB2312" w:eastAsia="仿宋_GB2312"/>
                <w:szCs w:val="21"/>
              </w:rPr>
            </w:pPr>
          </w:p>
        </w:tc>
        <w:tc>
          <w:tcPr>
            <w:tcW w:w="1185" w:type="dxa"/>
            <w:vAlign w:val="center"/>
          </w:tcPr>
          <w:p>
            <w:pPr>
              <w:spacing w:line="280" w:lineRule="exact"/>
              <w:jc w:val="center"/>
              <w:rPr>
                <w:rFonts w:ascii="仿宋_GB2312" w:eastAsia="仿宋_GB2312"/>
                <w:szCs w:val="21"/>
              </w:rPr>
            </w:pPr>
            <w:r>
              <w:rPr>
                <w:rFonts w:hint="eastAsia" w:ascii="仿宋_GB2312" w:eastAsia="仿宋_GB2312"/>
                <w:szCs w:val="21"/>
              </w:rPr>
              <w:t>推广中心</w:t>
            </w:r>
          </w:p>
        </w:tc>
        <w:tc>
          <w:tcPr>
            <w:tcW w:w="1425" w:type="dxa"/>
            <w:vAlign w:val="center"/>
          </w:tcPr>
          <w:p>
            <w:pPr>
              <w:spacing w:line="280" w:lineRule="exact"/>
              <w:jc w:val="center"/>
              <w:rPr>
                <w:rFonts w:ascii="仿宋_GB2312" w:eastAsia="仿宋_GB2312"/>
                <w:szCs w:val="21"/>
              </w:rPr>
            </w:pPr>
          </w:p>
        </w:tc>
        <w:tc>
          <w:tcPr>
            <w:tcW w:w="1335" w:type="dxa"/>
            <w:vAlign w:val="center"/>
          </w:tcPr>
          <w:p>
            <w:pPr>
              <w:spacing w:line="280" w:lineRule="exac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restart"/>
            <w:vAlign w:val="center"/>
          </w:tcPr>
          <w:p>
            <w:pPr>
              <w:spacing w:line="240" w:lineRule="atLeast"/>
              <w:rPr>
                <w:rFonts w:ascii="仿宋_GB2312" w:eastAsia="仿宋_GB2312"/>
                <w:szCs w:val="21"/>
              </w:rPr>
            </w:pPr>
          </w:p>
          <w:p>
            <w:pPr>
              <w:spacing w:line="240" w:lineRule="atLeast"/>
              <w:jc w:val="center"/>
              <w:rPr>
                <w:rFonts w:ascii="仿宋_GB2312" w:eastAsia="仿宋_GB2312"/>
                <w:szCs w:val="21"/>
              </w:rPr>
            </w:pPr>
            <w:r>
              <w:rPr>
                <w:rFonts w:hint="eastAsia" w:ascii="仿宋_GB2312" w:eastAsia="仿宋_GB2312"/>
                <w:szCs w:val="21"/>
              </w:rPr>
              <w:t>茅</w:t>
            </w:r>
          </w:p>
          <w:p>
            <w:pPr>
              <w:spacing w:line="240" w:lineRule="atLeast"/>
              <w:jc w:val="center"/>
              <w:rPr>
                <w:rFonts w:ascii="仿宋_GB2312" w:eastAsia="仿宋_GB2312"/>
                <w:szCs w:val="21"/>
              </w:rPr>
            </w:pPr>
            <w:r>
              <w:rPr>
                <w:rFonts w:hint="eastAsia" w:ascii="仿宋_GB2312" w:eastAsia="仿宋_GB2312"/>
                <w:szCs w:val="21"/>
              </w:rPr>
              <w:t>连</w:t>
            </w:r>
          </w:p>
          <w:p>
            <w:pPr>
              <w:spacing w:line="240" w:lineRule="atLeast"/>
              <w:jc w:val="center"/>
              <w:rPr>
                <w:rFonts w:ascii="仿宋_GB2312" w:eastAsia="仿宋_GB2312"/>
                <w:szCs w:val="21"/>
              </w:rPr>
            </w:pPr>
            <w:r>
              <w:rPr>
                <w:rFonts w:hint="eastAsia" w:ascii="仿宋_GB2312" w:eastAsia="仿宋_GB2312"/>
                <w:szCs w:val="21"/>
              </w:rPr>
              <w:t>行</w:t>
            </w:r>
          </w:p>
        </w:tc>
        <w:tc>
          <w:tcPr>
            <w:tcW w:w="657" w:type="dxa"/>
            <w:vAlign w:val="center"/>
          </w:tcPr>
          <w:p>
            <w:pPr>
              <w:spacing w:line="240" w:lineRule="atLeast"/>
              <w:jc w:val="center"/>
              <w:rPr>
                <w:rFonts w:ascii="仿宋_GB2312" w:eastAsia="仿宋_GB2312"/>
                <w:szCs w:val="21"/>
              </w:rPr>
            </w:pPr>
            <w:r>
              <w:rPr>
                <w:rFonts w:ascii="仿宋_GB2312" w:eastAsia="仿宋_GB2312"/>
                <w:szCs w:val="21"/>
              </w:rPr>
              <w:t>1</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聚焦我市农业高效优质产业和医疗卫生、生态环境等民生领域，组织实施市级农业和社会发展科技计划项目。</w:t>
            </w:r>
          </w:p>
        </w:tc>
        <w:tc>
          <w:tcPr>
            <w:tcW w:w="1485" w:type="dxa"/>
            <w:vAlign w:val="center"/>
          </w:tcPr>
          <w:p>
            <w:pPr>
              <w:spacing w:line="240" w:lineRule="atLeast"/>
              <w:jc w:val="center"/>
              <w:rPr>
                <w:rFonts w:ascii="仿宋_GB2312" w:eastAsia="仿宋_GB2312"/>
                <w:szCs w:val="21"/>
              </w:rPr>
            </w:pPr>
          </w:p>
        </w:tc>
        <w:tc>
          <w:tcPr>
            <w:tcW w:w="1185" w:type="dxa"/>
            <w:vAlign w:val="center"/>
          </w:tcPr>
          <w:p>
            <w:pPr>
              <w:spacing w:line="240" w:lineRule="atLeast"/>
              <w:jc w:val="center"/>
              <w:rPr>
                <w:rFonts w:ascii="仿宋_GB2312" w:eastAsia="仿宋_GB2312"/>
                <w:szCs w:val="21"/>
              </w:rPr>
            </w:pPr>
            <w:r>
              <w:rPr>
                <w:rFonts w:hint="eastAsia" w:ascii="仿宋_GB2312" w:eastAsia="仿宋_GB2312"/>
                <w:szCs w:val="21"/>
              </w:rPr>
              <w:t>进步科</w:t>
            </w:r>
          </w:p>
        </w:tc>
        <w:tc>
          <w:tcPr>
            <w:tcW w:w="1425" w:type="dxa"/>
            <w:vAlign w:val="center"/>
          </w:tcPr>
          <w:p>
            <w:pPr>
              <w:spacing w:line="240" w:lineRule="atLeast"/>
              <w:jc w:val="center"/>
              <w:rPr>
                <w:rFonts w:ascii="仿宋_GB2312" w:eastAsia="仿宋_GB2312"/>
                <w:szCs w:val="21"/>
              </w:rPr>
            </w:pPr>
          </w:p>
        </w:tc>
        <w:tc>
          <w:tcPr>
            <w:tcW w:w="1335" w:type="dxa"/>
            <w:vAlign w:val="center"/>
          </w:tcPr>
          <w:p>
            <w:pPr>
              <w:spacing w:line="240" w:lineRule="atLeast"/>
              <w:jc w:val="center"/>
              <w:rPr>
                <w:rFonts w:ascii="仿宋_GB2312" w:eastAsia="仿宋_GB2312"/>
                <w:szCs w:val="21"/>
              </w:rPr>
            </w:pPr>
            <w:r>
              <w:rPr>
                <w:rFonts w:hint="eastAsia" w:ascii="仿宋_GB2312" w:eastAsia="仿宋_GB2312"/>
                <w:szCs w:val="21"/>
              </w:rPr>
              <w:t>9月底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ascii="仿宋_GB2312" w:eastAsia="仿宋_GB2312"/>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2</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加强乡村振兴科技支撑，积极推进科技特派员、星创天地等建设，加强谋划农业科技园区、省农业重点企业研究院等。</w:t>
            </w:r>
          </w:p>
        </w:tc>
        <w:tc>
          <w:tcPr>
            <w:tcW w:w="1485" w:type="dxa"/>
            <w:vAlign w:val="center"/>
          </w:tcPr>
          <w:p>
            <w:pPr>
              <w:spacing w:line="240" w:lineRule="atLeast"/>
              <w:jc w:val="center"/>
              <w:rPr>
                <w:rFonts w:ascii="仿宋_GB2312" w:eastAsia="仿宋_GB2312"/>
                <w:szCs w:val="21"/>
              </w:rPr>
            </w:pPr>
          </w:p>
        </w:tc>
        <w:tc>
          <w:tcPr>
            <w:tcW w:w="1185" w:type="dxa"/>
            <w:vAlign w:val="center"/>
          </w:tcPr>
          <w:p>
            <w:pPr>
              <w:spacing w:line="240" w:lineRule="atLeast"/>
              <w:jc w:val="center"/>
              <w:rPr>
                <w:rFonts w:ascii="仿宋_GB2312" w:eastAsia="仿宋_GB2312"/>
                <w:szCs w:val="21"/>
              </w:rPr>
            </w:pPr>
            <w:r>
              <w:rPr>
                <w:rFonts w:hint="eastAsia" w:ascii="仿宋_GB2312" w:eastAsia="仿宋_GB2312"/>
                <w:szCs w:val="21"/>
              </w:rPr>
              <w:t>进步科</w:t>
            </w:r>
          </w:p>
        </w:tc>
        <w:tc>
          <w:tcPr>
            <w:tcW w:w="1425" w:type="dxa"/>
            <w:vAlign w:val="center"/>
          </w:tcPr>
          <w:p>
            <w:pPr>
              <w:spacing w:line="240" w:lineRule="atLeast"/>
              <w:jc w:val="center"/>
              <w:rPr>
                <w:rFonts w:ascii="仿宋_GB2312" w:eastAsia="仿宋_GB2312"/>
                <w:szCs w:val="21"/>
              </w:rPr>
            </w:pPr>
          </w:p>
        </w:tc>
        <w:tc>
          <w:tcPr>
            <w:tcW w:w="1335" w:type="dxa"/>
            <w:vAlign w:val="center"/>
          </w:tcPr>
          <w:p>
            <w:pPr>
              <w:spacing w:line="240" w:lineRule="atLeast"/>
              <w:jc w:val="center"/>
              <w:rPr>
                <w:rFonts w:ascii="仿宋_GB2312" w:eastAsia="仿宋_GB2312"/>
                <w:szCs w:val="21"/>
              </w:rPr>
            </w:pPr>
            <w:r>
              <w:rPr>
                <w:rFonts w:hint="eastAsia" w:ascii="仿宋_GB2312" w:eastAsia="仿宋_GB2312"/>
                <w:szCs w:val="21"/>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700" w:type="dxa"/>
            <w:vMerge w:val="continue"/>
            <w:vAlign w:val="center"/>
          </w:tcPr>
          <w:p>
            <w:pPr>
              <w:spacing w:line="240" w:lineRule="atLeast"/>
              <w:jc w:val="center"/>
              <w:rPr>
                <w:rFonts w:ascii="仿宋_GB2312" w:eastAsia="仿宋_GB2312"/>
                <w:szCs w:val="21"/>
              </w:rPr>
            </w:pPr>
          </w:p>
        </w:tc>
        <w:tc>
          <w:tcPr>
            <w:tcW w:w="657" w:type="dxa"/>
            <w:vAlign w:val="center"/>
          </w:tcPr>
          <w:p>
            <w:pPr>
              <w:spacing w:line="240" w:lineRule="atLeast"/>
              <w:jc w:val="center"/>
              <w:rPr>
                <w:rFonts w:ascii="仿宋_GB2312" w:eastAsia="仿宋_GB2312"/>
                <w:szCs w:val="21"/>
              </w:rPr>
            </w:pPr>
            <w:r>
              <w:rPr>
                <w:rFonts w:hint="eastAsia" w:ascii="仿宋_GB2312" w:eastAsia="仿宋_GB2312"/>
                <w:szCs w:val="21"/>
              </w:rPr>
              <w:t>3</w:t>
            </w:r>
          </w:p>
        </w:tc>
        <w:tc>
          <w:tcPr>
            <w:tcW w:w="5778" w:type="dxa"/>
            <w:vAlign w:val="center"/>
          </w:tcPr>
          <w:p>
            <w:pPr>
              <w:spacing w:line="280" w:lineRule="exact"/>
              <w:rPr>
                <w:rFonts w:ascii="仿宋_GB2312" w:eastAsia="仿宋_GB2312"/>
                <w:szCs w:val="21"/>
              </w:rPr>
            </w:pPr>
            <w:r>
              <w:rPr>
                <w:rFonts w:hint="eastAsia" w:ascii="仿宋_GB2312" w:eastAsia="仿宋_GB2312"/>
                <w:szCs w:val="21"/>
              </w:rPr>
              <w:t>牵头做好温医大慈溪生物医药研究院单设工作，配合做好温医大慈溪研究生院落地工作。</w:t>
            </w:r>
          </w:p>
        </w:tc>
        <w:tc>
          <w:tcPr>
            <w:tcW w:w="1485" w:type="dxa"/>
            <w:vAlign w:val="center"/>
          </w:tcPr>
          <w:p>
            <w:pPr>
              <w:spacing w:line="240" w:lineRule="atLeast"/>
              <w:jc w:val="center"/>
              <w:rPr>
                <w:rFonts w:ascii="仿宋_GB2312" w:eastAsia="仿宋_GB2312"/>
                <w:szCs w:val="21"/>
              </w:rPr>
            </w:pPr>
          </w:p>
        </w:tc>
        <w:tc>
          <w:tcPr>
            <w:tcW w:w="1185" w:type="dxa"/>
            <w:vAlign w:val="center"/>
          </w:tcPr>
          <w:p>
            <w:pPr>
              <w:spacing w:line="240" w:lineRule="atLeast"/>
              <w:jc w:val="center"/>
              <w:rPr>
                <w:rFonts w:ascii="仿宋_GB2312" w:eastAsia="仿宋_GB2312"/>
                <w:szCs w:val="21"/>
              </w:rPr>
            </w:pPr>
            <w:r>
              <w:rPr>
                <w:rFonts w:hint="eastAsia" w:ascii="仿宋_GB2312" w:eastAsia="仿宋_GB2312"/>
                <w:szCs w:val="21"/>
              </w:rPr>
              <w:t>进步科</w:t>
            </w:r>
          </w:p>
        </w:tc>
        <w:tc>
          <w:tcPr>
            <w:tcW w:w="1425" w:type="dxa"/>
            <w:vAlign w:val="center"/>
          </w:tcPr>
          <w:p>
            <w:pPr>
              <w:spacing w:line="240" w:lineRule="atLeast"/>
              <w:jc w:val="center"/>
              <w:rPr>
                <w:rFonts w:ascii="仿宋_GB2312" w:eastAsia="仿宋_GB2312"/>
                <w:szCs w:val="21"/>
              </w:rPr>
            </w:pPr>
          </w:p>
        </w:tc>
        <w:tc>
          <w:tcPr>
            <w:tcW w:w="1335" w:type="dxa"/>
            <w:vAlign w:val="center"/>
          </w:tcPr>
          <w:p>
            <w:pPr>
              <w:spacing w:line="240" w:lineRule="atLeast"/>
              <w:jc w:val="center"/>
              <w:rPr>
                <w:rFonts w:ascii="仿宋_GB2312" w:eastAsia="仿宋_GB2312"/>
                <w:szCs w:val="21"/>
              </w:rPr>
            </w:pPr>
            <w:r>
              <w:rPr>
                <w:rFonts w:hint="eastAsia" w:ascii="仿宋_GB2312" w:eastAsia="仿宋_GB2312"/>
                <w:szCs w:val="21"/>
              </w:rPr>
              <w:t>贯穿全年</w:t>
            </w:r>
          </w:p>
        </w:tc>
      </w:tr>
    </w:tbl>
    <w:p>
      <w:pPr>
        <w:spacing w:line="240" w:lineRule="atLeast"/>
        <w:jc w:val="center"/>
        <w:rPr>
          <w:rFonts w:ascii="仿宋_GB2312" w:eastAsia="仿宋_GB2312"/>
          <w:szCs w:val="21"/>
        </w:rPr>
      </w:pPr>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JlZWViNTZhN2ZiYmFjMjFhZGVjNzI3ZjNhNzYxOTMifQ=="/>
  </w:docVars>
  <w:rsids>
    <w:rsidRoot w:val="10CE0C8A"/>
    <w:rsid w:val="00013773"/>
    <w:rsid w:val="00023DD1"/>
    <w:rsid w:val="00046D3C"/>
    <w:rsid w:val="00086953"/>
    <w:rsid w:val="000E2D0D"/>
    <w:rsid w:val="00106DD8"/>
    <w:rsid w:val="001212C1"/>
    <w:rsid w:val="0014317F"/>
    <w:rsid w:val="001C7973"/>
    <w:rsid w:val="00277C12"/>
    <w:rsid w:val="002848B2"/>
    <w:rsid w:val="00432848"/>
    <w:rsid w:val="00504EDC"/>
    <w:rsid w:val="00523BEB"/>
    <w:rsid w:val="00590F29"/>
    <w:rsid w:val="005B066F"/>
    <w:rsid w:val="005E460B"/>
    <w:rsid w:val="00603D9E"/>
    <w:rsid w:val="00694D28"/>
    <w:rsid w:val="006E41F7"/>
    <w:rsid w:val="0072543A"/>
    <w:rsid w:val="007349FF"/>
    <w:rsid w:val="007A4D74"/>
    <w:rsid w:val="00811EA9"/>
    <w:rsid w:val="00816411"/>
    <w:rsid w:val="00876F89"/>
    <w:rsid w:val="008928E1"/>
    <w:rsid w:val="009114C5"/>
    <w:rsid w:val="0096168C"/>
    <w:rsid w:val="009E538B"/>
    <w:rsid w:val="00A36732"/>
    <w:rsid w:val="00A87A1D"/>
    <w:rsid w:val="00BC2334"/>
    <w:rsid w:val="00C238C6"/>
    <w:rsid w:val="00CF5B2F"/>
    <w:rsid w:val="00D37A48"/>
    <w:rsid w:val="00DE49BC"/>
    <w:rsid w:val="00E202FB"/>
    <w:rsid w:val="00E26BEC"/>
    <w:rsid w:val="00E46398"/>
    <w:rsid w:val="00EE1D01"/>
    <w:rsid w:val="00F378C3"/>
    <w:rsid w:val="00FA0D1D"/>
    <w:rsid w:val="00FA678E"/>
    <w:rsid w:val="00FA6CE5"/>
    <w:rsid w:val="00FF605A"/>
    <w:rsid w:val="0204077F"/>
    <w:rsid w:val="06373612"/>
    <w:rsid w:val="06D86278"/>
    <w:rsid w:val="07A54F86"/>
    <w:rsid w:val="09EF30AA"/>
    <w:rsid w:val="0A117D3F"/>
    <w:rsid w:val="0B5314E7"/>
    <w:rsid w:val="0BD25B2D"/>
    <w:rsid w:val="0E5210F0"/>
    <w:rsid w:val="0EA75692"/>
    <w:rsid w:val="0EFD7E17"/>
    <w:rsid w:val="0FB4209A"/>
    <w:rsid w:val="10CE0C8A"/>
    <w:rsid w:val="112E60DA"/>
    <w:rsid w:val="11622432"/>
    <w:rsid w:val="12B33A91"/>
    <w:rsid w:val="13D11A7E"/>
    <w:rsid w:val="141C3E22"/>
    <w:rsid w:val="14BE63EA"/>
    <w:rsid w:val="15587D23"/>
    <w:rsid w:val="1D9B1980"/>
    <w:rsid w:val="1EC267C4"/>
    <w:rsid w:val="250116D8"/>
    <w:rsid w:val="289B40DF"/>
    <w:rsid w:val="29973D8A"/>
    <w:rsid w:val="29A87A07"/>
    <w:rsid w:val="2AC22FD4"/>
    <w:rsid w:val="2B123209"/>
    <w:rsid w:val="2C5E3E2A"/>
    <w:rsid w:val="2D8D7483"/>
    <w:rsid w:val="2DB25095"/>
    <w:rsid w:val="2E2C656E"/>
    <w:rsid w:val="2F3125F4"/>
    <w:rsid w:val="33D80A27"/>
    <w:rsid w:val="3542727D"/>
    <w:rsid w:val="382D0D34"/>
    <w:rsid w:val="39571B0B"/>
    <w:rsid w:val="3C6131BC"/>
    <w:rsid w:val="3DBC7A2A"/>
    <w:rsid w:val="3FB1745E"/>
    <w:rsid w:val="40421537"/>
    <w:rsid w:val="49042EF2"/>
    <w:rsid w:val="4984049D"/>
    <w:rsid w:val="49DD2B43"/>
    <w:rsid w:val="4A605725"/>
    <w:rsid w:val="4AD601F7"/>
    <w:rsid w:val="4B8D40D2"/>
    <w:rsid w:val="4BB11B9C"/>
    <w:rsid w:val="50CA3133"/>
    <w:rsid w:val="5136221D"/>
    <w:rsid w:val="559844D8"/>
    <w:rsid w:val="57307311"/>
    <w:rsid w:val="5B167241"/>
    <w:rsid w:val="5BBC418E"/>
    <w:rsid w:val="5C87572B"/>
    <w:rsid w:val="5D51596D"/>
    <w:rsid w:val="5EA949D5"/>
    <w:rsid w:val="5FDB6EF4"/>
    <w:rsid w:val="60C91D7A"/>
    <w:rsid w:val="61B50721"/>
    <w:rsid w:val="62063D09"/>
    <w:rsid w:val="64CA1996"/>
    <w:rsid w:val="652D4198"/>
    <w:rsid w:val="66811A03"/>
    <w:rsid w:val="66D8353C"/>
    <w:rsid w:val="68330594"/>
    <w:rsid w:val="68AC57E9"/>
    <w:rsid w:val="69371BD4"/>
    <w:rsid w:val="69381C2C"/>
    <w:rsid w:val="6A142F2B"/>
    <w:rsid w:val="6ACA7EAC"/>
    <w:rsid w:val="6DF44666"/>
    <w:rsid w:val="713547AE"/>
    <w:rsid w:val="717F0A87"/>
    <w:rsid w:val="71FE0411"/>
    <w:rsid w:val="748D654C"/>
    <w:rsid w:val="762865F8"/>
    <w:rsid w:val="791B7878"/>
    <w:rsid w:val="7A7145D6"/>
    <w:rsid w:val="7E6D4684"/>
    <w:rsid w:val="7F192FA3"/>
    <w:rsid w:val="7F97699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w:basedOn w:val="3"/>
    <w:next w:val="5"/>
    <w:link w:val="13"/>
    <w:qFormat/>
    <w:uiPriority w:val="99"/>
    <w:pPr>
      <w:ind w:firstLine="420" w:firstLineChars="100"/>
    </w:pPr>
  </w:style>
  <w:style w:type="paragraph" w:styleId="3">
    <w:name w:val="Body Text"/>
    <w:basedOn w:val="1"/>
    <w:next w:val="4"/>
    <w:link w:val="12"/>
    <w:qFormat/>
    <w:uiPriority w:val="99"/>
    <w:pPr>
      <w:spacing w:after="120"/>
    </w:pPr>
  </w:style>
  <w:style w:type="paragraph" w:styleId="4">
    <w:name w:val="Subtitle"/>
    <w:basedOn w:val="1"/>
    <w:next w:val="1"/>
    <w:link w:val="14"/>
    <w:qFormat/>
    <w:uiPriority w:val="99"/>
    <w:pPr>
      <w:wordWrap w:val="0"/>
      <w:spacing w:after="60"/>
      <w:jc w:val="center"/>
    </w:pPr>
    <w:rPr>
      <w:rFonts w:ascii="Times New Roman" w:hAnsi="Times New Roman"/>
      <w:sz w:val="24"/>
    </w:rPr>
  </w:style>
  <w:style w:type="paragraph" w:styleId="5">
    <w:name w:val="Body Text First Indent 2"/>
    <w:basedOn w:val="6"/>
    <w:link w:val="16"/>
    <w:qFormat/>
    <w:uiPriority w:val="99"/>
    <w:pPr>
      <w:ind w:firstLine="420"/>
    </w:pPr>
    <w:rPr>
      <w:rFonts w:ascii="Calibri" w:eastAsia="宋体"/>
    </w:rPr>
  </w:style>
  <w:style w:type="paragraph" w:styleId="6">
    <w:name w:val="Body Text Indent"/>
    <w:basedOn w:val="1"/>
    <w:next w:val="7"/>
    <w:link w:val="15"/>
    <w:qFormat/>
    <w:uiPriority w:val="99"/>
    <w:pPr>
      <w:widowControl/>
      <w:spacing w:line="360" w:lineRule="auto"/>
      <w:ind w:firstLine="560"/>
    </w:pPr>
    <w:rPr>
      <w:rFonts w:ascii="仿宋_GB2312" w:eastAsia="仿宋_GB2312"/>
      <w:kern w:val="0"/>
      <w:sz w:val="28"/>
      <w:szCs w:val="28"/>
    </w:rPr>
  </w:style>
  <w:style w:type="paragraph" w:styleId="7">
    <w:name w:val="Normal Indent"/>
    <w:basedOn w:val="1"/>
    <w:qFormat/>
    <w:uiPriority w:val="99"/>
    <w:pPr>
      <w:ind w:firstLine="420" w:firstLineChars="200"/>
    </w:pPr>
    <w:rPr>
      <w:rFonts w:eastAsia="仿宋"/>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2">
    <w:name w:val="正文文本 字符"/>
    <w:basedOn w:val="11"/>
    <w:link w:val="3"/>
    <w:semiHidden/>
    <w:qFormat/>
    <w:uiPriority w:val="99"/>
    <w:rPr>
      <w:rFonts w:ascii="Calibri" w:hAnsi="Calibri"/>
      <w:szCs w:val="24"/>
    </w:rPr>
  </w:style>
  <w:style w:type="character" w:customStyle="1" w:styleId="13">
    <w:name w:val="正文文本首行缩进 字符"/>
    <w:basedOn w:val="12"/>
    <w:link w:val="2"/>
    <w:semiHidden/>
    <w:qFormat/>
    <w:uiPriority w:val="99"/>
    <w:rPr>
      <w:rFonts w:ascii="Calibri" w:hAnsi="Calibri"/>
      <w:szCs w:val="24"/>
    </w:rPr>
  </w:style>
  <w:style w:type="character" w:customStyle="1" w:styleId="14">
    <w:name w:val="副标题 字符"/>
    <w:basedOn w:val="11"/>
    <w:link w:val="4"/>
    <w:qFormat/>
    <w:uiPriority w:val="11"/>
    <w:rPr>
      <w:rFonts w:asciiTheme="majorHAnsi" w:hAnsiTheme="majorHAnsi" w:cstheme="majorBidi"/>
      <w:b/>
      <w:bCs/>
      <w:kern w:val="28"/>
      <w:sz w:val="32"/>
      <w:szCs w:val="32"/>
    </w:rPr>
  </w:style>
  <w:style w:type="character" w:customStyle="1" w:styleId="15">
    <w:name w:val="正文文本缩进 字符"/>
    <w:basedOn w:val="11"/>
    <w:link w:val="6"/>
    <w:semiHidden/>
    <w:qFormat/>
    <w:uiPriority w:val="99"/>
    <w:rPr>
      <w:rFonts w:ascii="Calibri" w:hAnsi="Calibri"/>
      <w:szCs w:val="24"/>
    </w:rPr>
  </w:style>
  <w:style w:type="character" w:customStyle="1" w:styleId="16">
    <w:name w:val="正文文本首行缩进 2 字符"/>
    <w:basedOn w:val="15"/>
    <w:link w:val="5"/>
    <w:semiHidden/>
    <w:qFormat/>
    <w:uiPriority w:val="99"/>
    <w:rPr>
      <w:rFonts w:ascii="Calibri" w:hAnsi="Calibri"/>
      <w:szCs w:val="24"/>
    </w:rPr>
  </w:style>
  <w:style w:type="character" w:customStyle="1" w:styleId="17">
    <w:name w:val="页眉 字符"/>
    <w:basedOn w:val="11"/>
    <w:link w:val="9"/>
    <w:qFormat/>
    <w:uiPriority w:val="99"/>
    <w:rPr>
      <w:rFonts w:ascii="Calibri" w:hAnsi="Calibri"/>
      <w:kern w:val="2"/>
      <w:sz w:val="18"/>
      <w:szCs w:val="18"/>
    </w:rPr>
  </w:style>
  <w:style w:type="character" w:customStyle="1" w:styleId="18">
    <w:name w:val="页脚 字符"/>
    <w:basedOn w:val="11"/>
    <w:link w:val="8"/>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561</Words>
  <Characters>3198</Characters>
  <Lines>26</Lines>
  <Paragraphs>7</Paragraphs>
  <TotalTime>90</TotalTime>
  <ScaleCrop>false</ScaleCrop>
  <LinksUpToDate>false</LinksUpToDate>
  <CharactersWithSpaces>3752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2021-02-20T08:44:00Z</dcterms:created>
  <dc:creator>VV</dc:creator>
  <cp:lastModifiedBy>小小朋克^_^</cp:lastModifiedBy>
  <cp:lastPrinted>2021-02-25T01:00:00Z</cp:lastPrinted>
  <dcterms:modified xsi:type="dcterms:W3CDTF">2022-10-21T01:03:39Z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A81D7B5DFE8E402A95D4B561808241BB</vt:lpwstr>
  </property>
</Properties>
</file>